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F390" w14:textId="77777777" w:rsidR="009D0010" w:rsidRPr="000D3C71" w:rsidRDefault="009D0010" w:rsidP="002C372A">
      <w:pPr>
        <w:pStyle w:val="affd"/>
        <w:spacing w:line="360" w:lineRule="auto"/>
        <w:rPr>
          <w:rFonts w:ascii="Arial" w:hAnsi="Arial" w:cs="Arial"/>
          <w:color w:val="000000" w:themeColor="text1"/>
        </w:rPr>
      </w:pPr>
      <w:bookmarkStart w:id="0" w:name="OLE_LINK1"/>
    </w:p>
    <w:p w14:paraId="2F9A44C5" w14:textId="77777777" w:rsidR="005F51AE" w:rsidRPr="000D3C71" w:rsidRDefault="005F51AE" w:rsidP="002C372A">
      <w:pPr>
        <w:pStyle w:val="affd"/>
        <w:spacing w:line="360" w:lineRule="auto"/>
        <w:rPr>
          <w:rFonts w:ascii="Arial" w:hAnsi="Arial" w:cs="Arial"/>
          <w:color w:val="000000" w:themeColor="text1"/>
          <w:sz w:val="36"/>
          <w:szCs w:val="36"/>
        </w:rPr>
      </w:pPr>
    </w:p>
    <w:p w14:paraId="79344726" w14:textId="77777777" w:rsidR="001A763C" w:rsidRDefault="001A763C" w:rsidP="002C372A">
      <w:pPr>
        <w:pStyle w:val="affd"/>
        <w:spacing w:line="360" w:lineRule="auto"/>
        <w:jc w:val="center"/>
        <w:rPr>
          <w:rFonts w:ascii="Arial" w:hAnsi="Arial" w:cs="Arial"/>
          <w:b/>
          <w:bCs/>
          <w:color w:val="000000" w:themeColor="text1"/>
          <w:sz w:val="36"/>
          <w:szCs w:val="36"/>
          <w:lang w:val="en"/>
        </w:rPr>
      </w:pPr>
      <w:bookmarkStart w:id="1" w:name="_Toc123112222"/>
      <w:bookmarkStart w:id="2" w:name="_Toc123112261"/>
      <w:bookmarkStart w:id="3" w:name="_Toc123701381"/>
      <w:bookmarkStart w:id="4" w:name="_Toc139991724"/>
      <w:bookmarkStart w:id="5" w:name="_Toc139992299"/>
    </w:p>
    <w:p w14:paraId="4C4D0EFC" w14:textId="3ADADBF0" w:rsidR="005F51AE" w:rsidRPr="000D3C71" w:rsidRDefault="00953439" w:rsidP="002C372A">
      <w:pPr>
        <w:pStyle w:val="affd"/>
        <w:spacing w:line="360" w:lineRule="auto"/>
        <w:jc w:val="center"/>
        <w:rPr>
          <w:rFonts w:ascii="Arial" w:hAnsi="Arial" w:cs="Arial"/>
          <w:b/>
          <w:bCs/>
          <w:color w:val="000000" w:themeColor="text1"/>
          <w:sz w:val="36"/>
          <w:szCs w:val="36"/>
        </w:rPr>
      </w:pPr>
      <w:r w:rsidRPr="000D3C71">
        <w:rPr>
          <w:rFonts w:ascii="Arial" w:hAnsi="Arial" w:cs="Arial"/>
          <w:b/>
          <w:bCs/>
          <w:color w:val="000000" w:themeColor="text1"/>
          <w:sz w:val="36"/>
          <w:szCs w:val="36"/>
          <w:lang w:val="en"/>
        </w:rPr>
        <w:t>ChinaAMC CSI 300 Exchange Traded Fund</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p>
    <w:bookmarkEnd w:id="6"/>
    <w:bookmarkEnd w:id="7"/>
    <w:bookmarkEnd w:id="8"/>
    <w:bookmarkEnd w:id="9"/>
    <w:bookmarkEnd w:id="10"/>
    <w:p w14:paraId="4344B615" w14:textId="77777777" w:rsidR="00433F5F" w:rsidRDefault="00953439" w:rsidP="002C372A">
      <w:pPr>
        <w:pStyle w:val="affd"/>
        <w:spacing w:line="360" w:lineRule="auto"/>
        <w:jc w:val="center"/>
        <w:rPr>
          <w:rFonts w:ascii="Arial" w:hAnsi="Arial" w:cs="Arial"/>
          <w:b/>
          <w:bCs/>
          <w:color w:val="000000" w:themeColor="text1"/>
          <w:sz w:val="36"/>
          <w:szCs w:val="36"/>
          <w:lang w:val="en"/>
        </w:rPr>
      </w:pPr>
      <w:r w:rsidRPr="000D3C71">
        <w:rPr>
          <w:rFonts w:ascii="Arial" w:hAnsi="Arial" w:cs="Arial"/>
          <w:b/>
          <w:bCs/>
          <w:color w:val="000000" w:themeColor="text1"/>
          <w:sz w:val="36"/>
          <w:szCs w:val="36"/>
          <w:lang w:val="en"/>
        </w:rPr>
        <w:t>Prospectus (Updated)</w:t>
      </w:r>
    </w:p>
    <w:p w14:paraId="45BBEC38" w14:textId="77777777" w:rsidR="004F411C" w:rsidRPr="000D3C71" w:rsidRDefault="004F411C" w:rsidP="002C372A">
      <w:pPr>
        <w:pStyle w:val="affd"/>
        <w:spacing w:line="360" w:lineRule="auto"/>
        <w:jc w:val="center"/>
        <w:rPr>
          <w:rFonts w:ascii="Arial" w:hAnsi="Arial" w:cs="Arial"/>
          <w:b/>
          <w:bCs/>
          <w:color w:val="000000" w:themeColor="text1"/>
          <w:sz w:val="36"/>
          <w:szCs w:val="36"/>
        </w:rPr>
      </w:pPr>
    </w:p>
    <w:p w14:paraId="3E0A29FB" w14:textId="77777777" w:rsidR="00824725" w:rsidRPr="004F411C" w:rsidRDefault="00953439">
      <w:pPr>
        <w:pStyle w:val="affd"/>
        <w:spacing w:line="360" w:lineRule="auto"/>
        <w:jc w:val="center"/>
        <w:rPr>
          <w:rFonts w:ascii="Arial" w:hAnsi="Arial" w:cs="Arial"/>
          <w:b/>
          <w:bCs/>
          <w:color w:val="000000" w:themeColor="text1"/>
          <w:sz w:val="32"/>
          <w:szCs w:val="32"/>
        </w:rPr>
      </w:pPr>
      <w:r w:rsidRPr="004F411C">
        <w:rPr>
          <w:rFonts w:ascii="Arial" w:hAnsi="Arial" w:cs="Arial"/>
          <w:b/>
          <w:bCs/>
          <w:color w:val="000000" w:themeColor="text1"/>
          <w:sz w:val="32"/>
          <w:szCs w:val="32"/>
          <w:lang w:val="en"/>
        </w:rPr>
        <w:t>May 30, 2025 Announcement</w:t>
      </w:r>
    </w:p>
    <w:p w14:paraId="26F960AC" w14:textId="77777777" w:rsidR="00CE77EC" w:rsidRPr="000D3C71" w:rsidRDefault="00CE77EC" w:rsidP="002C372A">
      <w:pPr>
        <w:pStyle w:val="affd"/>
        <w:spacing w:line="360" w:lineRule="auto"/>
        <w:jc w:val="center"/>
        <w:rPr>
          <w:rFonts w:ascii="Arial" w:hAnsi="Arial" w:cs="Arial"/>
          <w:b/>
          <w:bCs/>
          <w:color w:val="000000" w:themeColor="text1"/>
          <w:sz w:val="36"/>
          <w:szCs w:val="36"/>
        </w:rPr>
      </w:pPr>
    </w:p>
    <w:p w14:paraId="47FE5BD5" w14:textId="77777777" w:rsidR="005F51AE" w:rsidRPr="000D3C71" w:rsidRDefault="005F51AE" w:rsidP="002C372A">
      <w:pPr>
        <w:pStyle w:val="affd"/>
        <w:spacing w:line="360" w:lineRule="auto"/>
        <w:rPr>
          <w:rFonts w:ascii="Arial" w:hAnsi="Arial" w:cs="Arial"/>
          <w:color w:val="000000" w:themeColor="text1"/>
        </w:rPr>
      </w:pPr>
    </w:p>
    <w:p w14:paraId="0415E0CF" w14:textId="77777777" w:rsidR="002C372A" w:rsidRPr="000D3C71" w:rsidRDefault="002C372A" w:rsidP="002C372A">
      <w:pPr>
        <w:pStyle w:val="affd"/>
        <w:spacing w:line="360" w:lineRule="auto"/>
        <w:rPr>
          <w:rFonts w:ascii="Arial" w:hAnsi="Arial" w:cs="Arial"/>
          <w:color w:val="000000" w:themeColor="text1"/>
        </w:rPr>
      </w:pPr>
    </w:p>
    <w:p w14:paraId="565E244A" w14:textId="77777777" w:rsidR="002C372A" w:rsidRPr="000D3C71" w:rsidRDefault="002C372A" w:rsidP="002C372A">
      <w:pPr>
        <w:pStyle w:val="affd"/>
        <w:spacing w:line="360" w:lineRule="auto"/>
        <w:rPr>
          <w:rFonts w:ascii="Arial" w:hAnsi="Arial" w:cs="Arial"/>
          <w:color w:val="000000" w:themeColor="text1"/>
        </w:rPr>
      </w:pPr>
    </w:p>
    <w:p w14:paraId="74A30279" w14:textId="77777777" w:rsidR="002C372A" w:rsidRPr="000D3C71" w:rsidRDefault="002C372A" w:rsidP="002C372A">
      <w:pPr>
        <w:pStyle w:val="affd"/>
        <w:spacing w:line="360" w:lineRule="auto"/>
        <w:rPr>
          <w:rFonts w:ascii="Arial" w:hAnsi="Arial" w:cs="Arial"/>
          <w:color w:val="000000" w:themeColor="text1"/>
        </w:rPr>
      </w:pPr>
    </w:p>
    <w:p w14:paraId="2CA2C2C3" w14:textId="77777777" w:rsidR="002C372A" w:rsidRPr="000D3C71" w:rsidRDefault="002C372A" w:rsidP="002C372A">
      <w:pPr>
        <w:pStyle w:val="affd"/>
        <w:spacing w:line="360" w:lineRule="auto"/>
        <w:rPr>
          <w:rFonts w:ascii="Arial" w:hAnsi="Arial" w:cs="Arial"/>
          <w:color w:val="000000" w:themeColor="text1"/>
        </w:rPr>
      </w:pPr>
    </w:p>
    <w:p w14:paraId="7B166E68" w14:textId="77777777" w:rsidR="002C372A" w:rsidRPr="000D3C71" w:rsidRDefault="002C372A" w:rsidP="002C372A">
      <w:pPr>
        <w:pStyle w:val="affd"/>
        <w:spacing w:line="360" w:lineRule="auto"/>
        <w:rPr>
          <w:rFonts w:ascii="Arial" w:hAnsi="Arial" w:cs="Arial"/>
          <w:color w:val="000000" w:themeColor="text1"/>
        </w:rPr>
      </w:pPr>
    </w:p>
    <w:p w14:paraId="26967522" w14:textId="77777777" w:rsidR="002C372A" w:rsidRPr="000D3C71" w:rsidRDefault="002C372A" w:rsidP="002C372A">
      <w:pPr>
        <w:pStyle w:val="affd"/>
        <w:spacing w:line="360" w:lineRule="auto"/>
        <w:rPr>
          <w:rFonts w:ascii="Arial" w:hAnsi="Arial" w:cs="Arial"/>
          <w:color w:val="000000" w:themeColor="text1"/>
        </w:rPr>
      </w:pPr>
    </w:p>
    <w:p w14:paraId="75185BCF" w14:textId="77777777" w:rsidR="005F51AE" w:rsidRDefault="005F51AE" w:rsidP="002C372A">
      <w:pPr>
        <w:pStyle w:val="affd"/>
        <w:spacing w:line="360" w:lineRule="auto"/>
        <w:rPr>
          <w:rFonts w:ascii="Arial" w:hAnsi="Arial" w:cs="Arial"/>
          <w:color w:val="000000" w:themeColor="text1"/>
        </w:rPr>
      </w:pPr>
    </w:p>
    <w:p w14:paraId="35C447A3" w14:textId="77777777" w:rsidR="007C7660" w:rsidRDefault="007C7660" w:rsidP="002C372A">
      <w:pPr>
        <w:pStyle w:val="affd"/>
        <w:spacing w:line="360" w:lineRule="auto"/>
        <w:rPr>
          <w:rFonts w:ascii="Arial" w:hAnsi="Arial" w:cs="Arial"/>
          <w:color w:val="000000" w:themeColor="text1"/>
        </w:rPr>
      </w:pPr>
    </w:p>
    <w:p w14:paraId="188AD62F" w14:textId="77777777" w:rsidR="007C7660" w:rsidRDefault="007C7660" w:rsidP="002C372A">
      <w:pPr>
        <w:pStyle w:val="affd"/>
        <w:spacing w:line="360" w:lineRule="auto"/>
        <w:rPr>
          <w:rFonts w:ascii="Arial" w:hAnsi="Arial" w:cs="Arial"/>
          <w:color w:val="000000" w:themeColor="text1"/>
        </w:rPr>
      </w:pPr>
    </w:p>
    <w:p w14:paraId="4F7C13A4" w14:textId="77777777" w:rsidR="007C7660" w:rsidRPr="000D3C71" w:rsidRDefault="007C7660" w:rsidP="002C372A">
      <w:pPr>
        <w:pStyle w:val="affd"/>
        <w:spacing w:line="360" w:lineRule="auto"/>
        <w:rPr>
          <w:rFonts w:ascii="Arial" w:hAnsi="Arial" w:cs="Arial"/>
          <w:color w:val="000000" w:themeColor="text1"/>
        </w:rPr>
      </w:pPr>
    </w:p>
    <w:p w14:paraId="428718D3" w14:textId="77777777" w:rsidR="005F51AE" w:rsidRPr="000D3C71" w:rsidRDefault="005F51AE" w:rsidP="002C372A">
      <w:pPr>
        <w:pStyle w:val="affd"/>
        <w:spacing w:line="360" w:lineRule="auto"/>
        <w:rPr>
          <w:rFonts w:ascii="Arial" w:hAnsi="Arial" w:cs="Arial"/>
          <w:color w:val="000000" w:themeColor="text1"/>
        </w:rPr>
      </w:pPr>
    </w:p>
    <w:p w14:paraId="53D01D9C" w14:textId="77777777" w:rsidR="005F51AE" w:rsidRPr="00182696" w:rsidRDefault="00953439" w:rsidP="001A763C">
      <w:pPr>
        <w:pStyle w:val="affd"/>
        <w:spacing w:line="360" w:lineRule="auto"/>
        <w:rPr>
          <w:rFonts w:ascii="Arial" w:hAnsi="Arial" w:cs="Arial"/>
          <w:color w:val="000000" w:themeColor="text1"/>
          <w:sz w:val="28"/>
          <w:szCs w:val="28"/>
        </w:rPr>
      </w:pPr>
      <w:bookmarkStart w:id="11" w:name="_Toc123112224"/>
      <w:bookmarkStart w:id="12" w:name="_Toc123112263"/>
      <w:bookmarkStart w:id="13" w:name="_Toc123701383"/>
      <w:bookmarkStart w:id="14" w:name="_Toc139991726"/>
      <w:bookmarkStart w:id="15" w:name="_Toc139992301"/>
      <w:r w:rsidRPr="00182696">
        <w:rPr>
          <w:rFonts w:ascii="Arial" w:hAnsi="Arial" w:cs="Arial"/>
          <w:color w:val="000000" w:themeColor="text1"/>
          <w:sz w:val="28"/>
          <w:szCs w:val="28"/>
          <w:lang w:val="en"/>
        </w:rPr>
        <w:t xml:space="preserve">Fund Manager: </w:t>
      </w:r>
      <w:bookmarkEnd w:id="11"/>
      <w:bookmarkEnd w:id="12"/>
      <w:bookmarkEnd w:id="13"/>
      <w:bookmarkEnd w:id="14"/>
      <w:bookmarkEnd w:id="15"/>
      <w:r w:rsidRPr="00182696">
        <w:rPr>
          <w:rFonts w:ascii="Arial" w:hAnsi="Arial" w:cs="Arial"/>
          <w:color w:val="000000" w:themeColor="text1"/>
          <w:sz w:val="28"/>
          <w:szCs w:val="28"/>
          <w:lang w:val="en"/>
        </w:rPr>
        <w:t>China Asset Management Co., Ltd.</w:t>
      </w:r>
    </w:p>
    <w:p w14:paraId="720CC408" w14:textId="77777777" w:rsidR="005F51AE" w:rsidRPr="00182696" w:rsidRDefault="00953439" w:rsidP="001A763C">
      <w:pPr>
        <w:pStyle w:val="affd"/>
        <w:spacing w:line="360" w:lineRule="auto"/>
        <w:rPr>
          <w:rFonts w:ascii="Arial" w:hAnsi="Arial" w:cs="Arial"/>
          <w:color w:val="000000" w:themeColor="text1"/>
          <w:sz w:val="28"/>
          <w:szCs w:val="28"/>
        </w:rPr>
      </w:pPr>
      <w:bookmarkStart w:id="16" w:name="_Toc123112225"/>
      <w:bookmarkStart w:id="17" w:name="_Toc123112264"/>
      <w:bookmarkStart w:id="18" w:name="_Toc123701384"/>
      <w:bookmarkStart w:id="19" w:name="_Toc139991727"/>
      <w:bookmarkStart w:id="20" w:name="_Toc139992302"/>
      <w:r w:rsidRPr="00182696">
        <w:rPr>
          <w:rFonts w:ascii="Arial" w:hAnsi="Arial" w:cs="Arial"/>
          <w:color w:val="000000" w:themeColor="text1"/>
          <w:sz w:val="28"/>
          <w:szCs w:val="28"/>
          <w:lang w:val="en"/>
        </w:rPr>
        <w:t>Fund Custodian: Industrial and Commercial Bank of China Limited</w:t>
      </w:r>
      <w:bookmarkEnd w:id="16"/>
      <w:bookmarkEnd w:id="17"/>
      <w:bookmarkEnd w:id="18"/>
      <w:bookmarkEnd w:id="19"/>
      <w:bookmarkEnd w:id="20"/>
    </w:p>
    <w:p w14:paraId="6EC9695B" w14:textId="77777777" w:rsidR="005F51AE" w:rsidRPr="000D3C71" w:rsidRDefault="005F51AE" w:rsidP="002C372A">
      <w:pPr>
        <w:pStyle w:val="affd"/>
        <w:spacing w:line="360" w:lineRule="auto"/>
        <w:rPr>
          <w:rFonts w:ascii="Arial" w:hAnsi="Arial" w:cs="Arial"/>
          <w:color w:val="000000" w:themeColor="text1"/>
        </w:rPr>
      </w:pPr>
    </w:p>
    <w:p w14:paraId="3FDBAB0A" w14:textId="77777777" w:rsidR="005F51AE" w:rsidRPr="000D3C71" w:rsidRDefault="005F51AE" w:rsidP="002C372A">
      <w:pPr>
        <w:pStyle w:val="affd"/>
        <w:spacing w:line="360" w:lineRule="auto"/>
        <w:rPr>
          <w:rFonts w:ascii="Arial" w:hAnsi="Arial" w:cs="Arial"/>
          <w:color w:val="000000" w:themeColor="text1"/>
        </w:rPr>
      </w:pPr>
    </w:p>
    <w:p w14:paraId="693D7686" w14:textId="77777777" w:rsidR="005F51AE" w:rsidRPr="000D3C71" w:rsidRDefault="005F51AE" w:rsidP="002C372A">
      <w:pPr>
        <w:pStyle w:val="affd"/>
        <w:spacing w:line="360" w:lineRule="auto"/>
        <w:jc w:val="center"/>
        <w:rPr>
          <w:rFonts w:ascii="Arial" w:hAnsi="Arial" w:cs="Arial"/>
          <w:b/>
          <w:bCs/>
          <w:color w:val="000000" w:themeColor="text1"/>
          <w:sz w:val="30"/>
        </w:rPr>
        <w:sectPr w:rsidR="005F51AE" w:rsidRPr="000D3C71" w:rsidSect="009D0010">
          <w:headerReference w:type="default" r:id="rId8"/>
          <w:pgSz w:w="11906" w:h="16838"/>
          <w:pgMar w:top="1440" w:right="1800" w:bottom="1440" w:left="1800" w:header="851" w:footer="992" w:gutter="0"/>
          <w:cols w:space="425"/>
          <w:docGrid w:type="lines" w:linePitch="312"/>
        </w:sectPr>
      </w:pPr>
    </w:p>
    <w:p w14:paraId="75F8CEFD" w14:textId="77777777" w:rsidR="005F51AE" w:rsidRPr="000D3C71" w:rsidRDefault="00953439" w:rsidP="00A9312E">
      <w:pPr>
        <w:pStyle w:val="affd"/>
        <w:tabs>
          <w:tab w:val="center" w:pos="4153"/>
          <w:tab w:val="right" w:pos="8306"/>
        </w:tabs>
        <w:autoSpaceDE w:val="0"/>
        <w:autoSpaceDN w:val="0"/>
        <w:adjustRightInd w:val="0"/>
        <w:spacing w:line="360" w:lineRule="auto"/>
        <w:jc w:val="center"/>
        <w:rPr>
          <w:rFonts w:ascii="Arial" w:hAnsi="Arial" w:cs="Arial"/>
          <w:b/>
          <w:szCs w:val="21"/>
        </w:rPr>
      </w:pPr>
      <w:r w:rsidRPr="000D3C71">
        <w:rPr>
          <w:rFonts w:ascii="Arial" w:hAnsi="Arial" w:cs="Arial"/>
          <w:b/>
          <w:bCs/>
          <w:szCs w:val="21"/>
          <w:lang w:val="en"/>
        </w:rPr>
        <w:lastRenderedPageBreak/>
        <w:t>IMPORTANT INFORMATION</w:t>
      </w:r>
    </w:p>
    <w:p w14:paraId="6529B7B8" w14:textId="77777777" w:rsidR="005F51AE" w:rsidRPr="000D3C71" w:rsidRDefault="00953439" w:rsidP="002C372A">
      <w:pPr>
        <w:pStyle w:val="affd"/>
        <w:autoSpaceDE w:val="0"/>
        <w:autoSpaceDN w:val="0"/>
        <w:adjustRightInd w:val="0"/>
        <w:spacing w:line="360" w:lineRule="auto"/>
        <w:ind w:firstLine="420"/>
        <w:rPr>
          <w:rFonts w:ascii="Arial" w:hAnsi="Arial" w:cs="Arial"/>
        </w:rPr>
      </w:pPr>
      <w:r w:rsidRPr="000D3C71">
        <w:rPr>
          <w:rFonts w:ascii="Arial" w:hAnsi="Arial" w:cs="Arial"/>
          <w:lang w:val="en"/>
        </w:rPr>
        <w:t xml:space="preserve">The application for the offering of the Fund was approved by the China Securities Regulatory Commission (“CSRC”) under CSRC Permit [2012] No. 1653, dated December 10, 2012. The Fund Contract became effective on December 25, 2012. </w:t>
      </w:r>
    </w:p>
    <w:p w14:paraId="0C79F8C5" w14:textId="77777777" w:rsidR="005F51AE" w:rsidRPr="000D3C71" w:rsidRDefault="00953439" w:rsidP="002C372A">
      <w:pPr>
        <w:pStyle w:val="af6"/>
        <w:autoSpaceDE w:val="0"/>
        <w:autoSpaceDN w:val="0"/>
        <w:adjustRightInd w:val="0"/>
        <w:ind w:firstLineChars="0"/>
        <w:rPr>
          <w:rFonts w:ascii="Arial" w:hAnsi="Arial" w:cs="Arial"/>
          <w:szCs w:val="24"/>
        </w:rPr>
      </w:pPr>
      <w:r w:rsidRPr="000D3C71">
        <w:rPr>
          <w:rFonts w:ascii="Arial" w:hAnsi="Arial" w:cs="Arial"/>
          <w:szCs w:val="24"/>
          <w:lang w:val="en"/>
        </w:rPr>
        <w:t>The Fund Manager guarantees that the contents of this Prospectus are true, accurate, and complete. This Prospectus has been approved by the CSRC; however, such approval does not constitute a substantive judgment or guarantee by the CSRC regarding the Fund’s value or returns, nor does it imply that an investment in the Fund is free of risk.</w:t>
      </w:r>
    </w:p>
    <w:p w14:paraId="3E4958C3" w14:textId="77777777" w:rsidR="00735AE1" w:rsidRPr="000D3C71" w:rsidRDefault="00953439" w:rsidP="002C372A">
      <w:pPr>
        <w:pStyle w:val="affd"/>
        <w:autoSpaceDE w:val="0"/>
        <w:autoSpaceDN w:val="0"/>
        <w:adjustRightInd w:val="0"/>
        <w:spacing w:line="360" w:lineRule="auto"/>
        <w:ind w:firstLine="420"/>
        <w:rPr>
          <w:rFonts w:ascii="Arial" w:hAnsi="Arial" w:cs="Arial"/>
        </w:rPr>
      </w:pPr>
      <w:r w:rsidRPr="000D3C71">
        <w:rPr>
          <w:rFonts w:ascii="Arial" w:hAnsi="Arial" w:cs="Arial"/>
          <w:lang w:val="en"/>
        </w:rPr>
        <w:t>The Fund invests in the securities market, and its net asset value (NAV) will fluctuate due to market volatility and other factors. Investors are entitled to returns based on the fund units they hold and must also bear the corresponding investment risks. Risks associated with the Fund include: systemic risk arising from broad political, economic, and social factors affecting securities prices; non-systemic risk unique to individual securities; management risk arising from the Fund Manager's management process; and other risks specific to the Fund. The Fund is also subject to risks such as its tracking error control failing to meet its stated objective, the discontinuation of services by the index provider, or the suspension or default of constituent securities. ChinaAMC CSI 300 Exchange Traded Fund is an equity fund, with a risk and return profile higher than that of hybrid funds, bond funds, and money market funds. The Fund primarily invests in the constituent and alternate constituent stocks of the underlying index, and is considered a higher-risk, higher-return product among equity funds. In accordance with the Measures for the Suitability Management of Securities and Futures Investors, effective July 1, 2017, the Fund Manager and sales institutions have re-evaluated the Fund's risk rating. This reassessment does not alter the Fund's substantive risk-return profile; however, the Fund's risk level classification or description may have changed due to modifications in risk rating standards. The specific risk rating should be based on the results provided by the Fund Manager and sales institutions.</w:t>
      </w:r>
    </w:p>
    <w:p w14:paraId="1EDEF75A" w14:textId="77777777" w:rsidR="00735AE1" w:rsidRPr="000D3C71" w:rsidRDefault="00953439" w:rsidP="002C372A">
      <w:pPr>
        <w:pStyle w:val="affd"/>
        <w:autoSpaceDE w:val="0"/>
        <w:autoSpaceDN w:val="0"/>
        <w:adjustRightInd w:val="0"/>
        <w:spacing w:line="360" w:lineRule="auto"/>
        <w:ind w:firstLine="420"/>
        <w:rPr>
          <w:rFonts w:ascii="Arial" w:hAnsi="Arial" w:cs="Arial"/>
        </w:rPr>
      </w:pPr>
      <w:r w:rsidRPr="000D3C71">
        <w:rPr>
          <w:rFonts w:ascii="Arial" w:hAnsi="Arial" w:cs="Arial"/>
          <w:lang w:val="en"/>
        </w:rPr>
        <w:t xml:space="preserve">Investors are required to have a Shanghai Stock Exchange account to invest in the Fund. However, it should be noted that the Shanghai Stock Exchange fund account can only be used for cash subscriptions and secondary market trading of the Fund. If investors need to participate in offline IPO subscriptions or creations and redemptions of the Fund using Shanghai Stock Exchange listed stocks among the constituent stocks of the CSI 300 Index, they should open a Shanghai Stock Exchange A-share account. Similarly, if investors need to participate in offline IPO subscriptions using Shenzhen Stock Exchange listed stocks among the constituent stocks of the CSI 300 Index, they should also open a Shenzhen Stock Exchange A-share account. </w:t>
      </w:r>
    </w:p>
    <w:p w14:paraId="6AC3E83F" w14:textId="77777777" w:rsidR="00F55A06" w:rsidRPr="000D3C71" w:rsidRDefault="00953439" w:rsidP="002C372A">
      <w:pPr>
        <w:pStyle w:val="affd"/>
        <w:autoSpaceDE w:val="0"/>
        <w:autoSpaceDN w:val="0"/>
        <w:adjustRightInd w:val="0"/>
        <w:spacing w:line="360" w:lineRule="auto"/>
        <w:ind w:firstLine="420"/>
        <w:rPr>
          <w:rFonts w:ascii="Arial" w:hAnsi="Arial" w:cs="Arial"/>
        </w:rPr>
      </w:pPr>
      <w:r w:rsidRPr="000D3C71">
        <w:rPr>
          <w:rFonts w:ascii="Arial" w:hAnsi="Arial" w:cs="Arial"/>
          <w:lang w:val="en"/>
        </w:rPr>
        <w:t>The Fund may invest in depositary receipts. The Fund’s NAV may be affected by price fluctuations of the underlying overseas securities of those depositary receipts, and the risks associated with the underlying overseas securities may directly or indirectly become risks borne by the Fund.</w:t>
      </w:r>
    </w:p>
    <w:p w14:paraId="78B1ADB2" w14:textId="77777777" w:rsidR="001E4B19" w:rsidRPr="000D3C71" w:rsidRDefault="00953439" w:rsidP="002C372A">
      <w:pPr>
        <w:pStyle w:val="affd"/>
        <w:autoSpaceDE w:val="0"/>
        <w:autoSpaceDN w:val="0"/>
        <w:adjustRightInd w:val="0"/>
        <w:spacing w:line="360" w:lineRule="auto"/>
        <w:ind w:firstLine="420"/>
        <w:rPr>
          <w:rFonts w:ascii="Arial" w:hAnsi="Arial" w:cs="Arial"/>
        </w:rPr>
      </w:pPr>
      <w:r w:rsidRPr="000D3C71">
        <w:rPr>
          <w:rFonts w:ascii="Arial" w:hAnsi="Arial" w:cs="Arial"/>
          <w:lang w:val="en"/>
        </w:rPr>
        <w:t>Investing involves risk. Before investing in the Fund, investors should carefully read the Prospectus, the Fund Contract, and the Product Key Facts Statement in order to fully understand the Fund’s risk-return profile and product characteristics. Investors should also carefully consider their own risk tolerance, make informed judgments about the market, and make investment decisions prudently.</w:t>
      </w:r>
    </w:p>
    <w:p w14:paraId="53618CAF" w14:textId="77777777" w:rsidR="00E94CC5" w:rsidRPr="000D3C71" w:rsidRDefault="00953439" w:rsidP="002C372A">
      <w:pPr>
        <w:pStyle w:val="affd"/>
        <w:autoSpaceDE w:val="0"/>
        <w:autoSpaceDN w:val="0"/>
        <w:adjustRightInd w:val="0"/>
        <w:spacing w:line="360" w:lineRule="auto"/>
        <w:ind w:firstLine="420"/>
        <w:rPr>
          <w:rFonts w:ascii="Arial" w:hAnsi="Arial" w:cs="Arial"/>
        </w:rPr>
      </w:pPr>
      <w:r w:rsidRPr="000D3C71">
        <w:rPr>
          <w:rFonts w:ascii="Arial" w:hAnsi="Arial" w:cs="Arial"/>
          <w:lang w:val="en"/>
        </w:rPr>
        <w:t>The requirements for the preparation, disclosure, and updating of the Product Key Facts Statement became effective one year after the implementation of the Measures for the Administration of Information Disclosure of Publicly Offered Securities Investment Funds.</w:t>
      </w:r>
    </w:p>
    <w:p w14:paraId="605EFBB3" w14:textId="77777777" w:rsidR="005F51AE" w:rsidRPr="000D3C71" w:rsidRDefault="00953439" w:rsidP="002C372A">
      <w:pPr>
        <w:pStyle w:val="affd"/>
        <w:autoSpaceDE w:val="0"/>
        <w:autoSpaceDN w:val="0"/>
        <w:adjustRightInd w:val="0"/>
        <w:spacing w:line="360" w:lineRule="auto"/>
        <w:ind w:firstLine="420"/>
        <w:rPr>
          <w:rFonts w:ascii="Arial" w:hAnsi="Arial" w:cs="Arial"/>
        </w:rPr>
      </w:pPr>
      <w:r w:rsidRPr="000D3C71">
        <w:rPr>
          <w:rFonts w:ascii="Arial" w:hAnsi="Arial" w:cs="Arial"/>
          <w:lang w:val="en"/>
        </w:rPr>
        <w:t xml:space="preserve">Past performance of the Fund is not indicative of its future results. </w:t>
      </w:r>
    </w:p>
    <w:p w14:paraId="36EAF1F9" w14:textId="77777777" w:rsidR="004828B2" w:rsidRPr="000D3C71" w:rsidRDefault="00953439" w:rsidP="002C372A">
      <w:pPr>
        <w:pStyle w:val="af6"/>
        <w:autoSpaceDE w:val="0"/>
        <w:autoSpaceDN w:val="0"/>
        <w:adjustRightInd w:val="0"/>
        <w:ind w:firstLineChars="0"/>
        <w:rPr>
          <w:rFonts w:ascii="Arial" w:hAnsi="Arial" w:cs="Arial"/>
          <w:szCs w:val="24"/>
        </w:rPr>
      </w:pPr>
      <w:r w:rsidRPr="000D3C71">
        <w:rPr>
          <w:rFonts w:ascii="Arial" w:hAnsi="Arial" w:cs="Arial"/>
          <w:szCs w:val="24"/>
          <w:lang w:val="en"/>
        </w:rPr>
        <w:t>The Fund Manager manages and administers the Fund’s Property in accordance with the principles of honesty, integrity, diligence, and prudence, but does not guarantee that the Fund will achieve profits or any minimum return.</w:t>
      </w:r>
    </w:p>
    <w:p w14:paraId="6E519F2B" w14:textId="77777777" w:rsidR="00824725" w:rsidRPr="000D3C71" w:rsidRDefault="00953439">
      <w:pPr>
        <w:autoSpaceDE w:val="0"/>
        <w:autoSpaceDN w:val="0"/>
        <w:adjustRightInd w:val="0"/>
        <w:spacing w:line="360" w:lineRule="auto"/>
        <w:ind w:firstLineChars="200" w:firstLine="422"/>
        <w:rPr>
          <w:rFonts w:ascii="Arial" w:hAnsi="Arial" w:cs="Arial"/>
          <w:b/>
          <w:bCs/>
        </w:rPr>
      </w:pPr>
      <w:r w:rsidRPr="000D3C71">
        <w:rPr>
          <w:rFonts w:ascii="Arial" w:hAnsi="Arial" w:cs="Arial"/>
          <w:b/>
          <w:bCs/>
          <w:lang w:val="en"/>
        </w:rPr>
        <w:t>Investors should carefully read and fully understand the provisions regarding disclaimer of liability and dispute resolution procedures as provided in the Fund Contract.</w:t>
      </w:r>
    </w:p>
    <w:p w14:paraId="4C5419EC" w14:textId="77777777" w:rsidR="00824725" w:rsidRPr="000D3C71" w:rsidRDefault="00953439">
      <w:pPr>
        <w:autoSpaceDE w:val="0"/>
        <w:autoSpaceDN w:val="0"/>
        <w:adjustRightInd w:val="0"/>
        <w:spacing w:line="360" w:lineRule="auto"/>
        <w:ind w:firstLineChars="200" w:firstLine="422"/>
        <w:rPr>
          <w:rFonts w:ascii="Arial" w:hAnsi="Arial" w:cs="Arial"/>
          <w:b/>
          <w:bCs/>
        </w:rPr>
      </w:pPr>
      <w:r w:rsidRPr="000D3C71">
        <w:rPr>
          <w:rFonts w:ascii="Arial" w:hAnsi="Arial" w:cs="Arial"/>
          <w:b/>
          <w:bCs/>
          <w:lang w:val="en"/>
        </w:rPr>
        <w:t>For this annual update, the cut-off date for financial data and data on NAV performance is March 31, 2025; the cut-off date for key personnel information is May 29, 2025; and the cut-off date for all other information is May 15, 2025. (The financial information in this Prospectus is unaudited.)</w:t>
      </w:r>
    </w:p>
    <w:p w14:paraId="517362C0" w14:textId="77777777" w:rsidR="008C15BF" w:rsidRPr="000D3C71" w:rsidRDefault="008C15BF" w:rsidP="00953439">
      <w:pPr>
        <w:pStyle w:val="affd"/>
        <w:spacing w:line="360" w:lineRule="auto"/>
        <w:rPr>
          <w:rFonts w:ascii="Arial" w:hAnsi="Arial" w:cs="Arial"/>
          <w:b/>
          <w:bCs/>
        </w:rPr>
        <w:sectPr w:rsidR="008C15BF" w:rsidRPr="000D3C71" w:rsidSect="00BD6E3A">
          <w:headerReference w:type="default" r:id="rId9"/>
          <w:footerReference w:type="default" r:id="rId10"/>
          <w:pgSz w:w="11906" w:h="16838"/>
          <w:pgMar w:top="1440" w:right="1800" w:bottom="1440" w:left="1800" w:header="851" w:footer="992" w:gutter="0"/>
          <w:pgNumType w:start="1"/>
          <w:cols w:space="425"/>
          <w:docGrid w:type="lines" w:linePitch="312"/>
        </w:sectPr>
      </w:pPr>
    </w:p>
    <w:p w14:paraId="52A04ECB" w14:textId="77777777" w:rsidR="00735AE1" w:rsidRPr="001F53A0" w:rsidRDefault="00953439" w:rsidP="008D4E2C">
      <w:pPr>
        <w:pStyle w:val="affd"/>
        <w:spacing w:line="360" w:lineRule="auto"/>
        <w:jc w:val="center"/>
        <w:rPr>
          <w:rFonts w:ascii="Arial" w:hAnsi="Arial" w:cs="Arial"/>
          <w:b/>
          <w:szCs w:val="21"/>
        </w:rPr>
      </w:pPr>
      <w:r w:rsidRPr="001F53A0">
        <w:rPr>
          <w:rFonts w:ascii="Arial" w:hAnsi="Arial" w:cs="Arial"/>
          <w:b/>
          <w:bCs/>
          <w:szCs w:val="21"/>
          <w:lang w:val="en"/>
        </w:rPr>
        <w:t>Contents</w:t>
      </w:r>
    </w:p>
    <w:p w14:paraId="4D7A52DD" w14:textId="1EB5553C" w:rsidR="001255D1" w:rsidRPr="001255D1" w:rsidRDefault="00953439">
      <w:pPr>
        <w:pStyle w:val="TOC3"/>
        <w:rPr>
          <w:rFonts w:ascii="Arial" w:eastAsiaTheme="minorEastAsia" w:hAnsi="Arial" w:cs="Arial"/>
          <w:noProof/>
          <w:kern w:val="2"/>
          <w:sz w:val="24"/>
          <w:szCs w:val="24"/>
          <w14:ligatures w14:val="standardContextual"/>
        </w:rPr>
      </w:pPr>
      <w:r w:rsidRPr="001255D1">
        <w:rPr>
          <w:rFonts w:ascii="Arial" w:hAnsi="Arial" w:cs="Arial"/>
          <w:noProof/>
          <w:szCs w:val="20"/>
          <w:lang w:val="en"/>
        </w:rPr>
        <w:fldChar w:fldCharType="begin"/>
      </w:r>
      <w:r w:rsidRPr="001255D1">
        <w:rPr>
          <w:rFonts w:ascii="Arial" w:hAnsi="Arial" w:cs="Arial"/>
          <w:noProof/>
        </w:rPr>
        <w:instrText xml:space="preserve"> TOC \o "1-3" \h \z \u </w:instrText>
      </w:r>
      <w:r w:rsidRPr="001255D1">
        <w:rPr>
          <w:rFonts w:ascii="Arial" w:hAnsi="Arial" w:cs="Arial"/>
          <w:noProof/>
          <w:szCs w:val="20"/>
        </w:rPr>
        <w:fldChar w:fldCharType="separate"/>
      </w:r>
      <w:hyperlink w:anchor="_Toc211640916" w:history="1">
        <w:r w:rsidR="001255D1" w:rsidRPr="001255D1">
          <w:rPr>
            <w:rStyle w:val="Hyperlink"/>
            <w:rFonts w:ascii="Arial" w:hAnsi="Arial" w:cs="Arial"/>
            <w:bCs/>
            <w:noProof/>
            <w:lang w:val="en"/>
          </w:rPr>
          <w:t>I. Preface</w:t>
        </w:r>
        <w:r w:rsidR="001255D1" w:rsidRPr="001255D1">
          <w:rPr>
            <w:rFonts w:ascii="Arial" w:hAnsi="Arial" w:cs="Arial"/>
            <w:noProof/>
            <w:webHidden/>
          </w:rPr>
          <w:tab/>
        </w:r>
        <w:r w:rsidR="001255D1" w:rsidRPr="001255D1">
          <w:rPr>
            <w:rFonts w:ascii="Arial" w:hAnsi="Arial" w:cs="Arial"/>
            <w:noProof/>
            <w:webHidden/>
          </w:rPr>
          <w:fldChar w:fldCharType="begin"/>
        </w:r>
        <w:r w:rsidR="001255D1" w:rsidRPr="001255D1">
          <w:rPr>
            <w:rFonts w:ascii="Arial" w:hAnsi="Arial" w:cs="Arial"/>
            <w:noProof/>
            <w:webHidden/>
          </w:rPr>
          <w:instrText xml:space="preserve"> PAGEREF _Toc211640916 \h </w:instrText>
        </w:r>
        <w:r w:rsidR="001255D1" w:rsidRPr="001255D1">
          <w:rPr>
            <w:rFonts w:ascii="Arial" w:hAnsi="Arial" w:cs="Arial"/>
            <w:noProof/>
            <w:webHidden/>
          </w:rPr>
        </w:r>
        <w:r w:rsidR="001255D1" w:rsidRPr="001255D1">
          <w:rPr>
            <w:rFonts w:ascii="Arial" w:hAnsi="Arial" w:cs="Arial"/>
            <w:noProof/>
            <w:webHidden/>
          </w:rPr>
          <w:fldChar w:fldCharType="separate"/>
        </w:r>
        <w:r w:rsidR="001255D1" w:rsidRPr="001255D1">
          <w:rPr>
            <w:rFonts w:ascii="Arial" w:hAnsi="Arial" w:cs="Arial"/>
            <w:noProof/>
            <w:webHidden/>
          </w:rPr>
          <w:t>1</w:t>
        </w:r>
        <w:r w:rsidR="001255D1" w:rsidRPr="001255D1">
          <w:rPr>
            <w:rFonts w:ascii="Arial" w:hAnsi="Arial" w:cs="Arial"/>
            <w:noProof/>
            <w:webHidden/>
          </w:rPr>
          <w:fldChar w:fldCharType="end"/>
        </w:r>
      </w:hyperlink>
    </w:p>
    <w:p w14:paraId="68C9D1C8" w14:textId="12E92763" w:rsidR="001255D1" w:rsidRPr="001255D1" w:rsidRDefault="001255D1">
      <w:pPr>
        <w:pStyle w:val="TOC3"/>
        <w:rPr>
          <w:rFonts w:ascii="Arial" w:eastAsiaTheme="minorEastAsia" w:hAnsi="Arial" w:cs="Arial"/>
          <w:noProof/>
          <w:kern w:val="2"/>
          <w:sz w:val="24"/>
          <w:szCs w:val="24"/>
          <w14:ligatures w14:val="standardContextual"/>
        </w:rPr>
      </w:pPr>
      <w:hyperlink w:anchor="_Toc211640917" w:history="1">
        <w:r w:rsidRPr="001255D1">
          <w:rPr>
            <w:rStyle w:val="Hyperlink"/>
            <w:rFonts w:ascii="Arial" w:hAnsi="Arial" w:cs="Arial"/>
            <w:bCs/>
            <w:noProof/>
            <w:lang w:val="en"/>
          </w:rPr>
          <w:t>II. Definitions</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_Toc211640917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2</w:t>
        </w:r>
        <w:r w:rsidRPr="001255D1">
          <w:rPr>
            <w:rFonts w:ascii="Arial" w:hAnsi="Arial" w:cs="Arial"/>
            <w:noProof/>
            <w:webHidden/>
          </w:rPr>
          <w:fldChar w:fldCharType="end"/>
        </w:r>
      </w:hyperlink>
    </w:p>
    <w:p w14:paraId="2181DC45" w14:textId="1FDEB2C0" w:rsidR="001255D1" w:rsidRPr="001255D1" w:rsidRDefault="001255D1">
      <w:pPr>
        <w:pStyle w:val="TOC3"/>
        <w:rPr>
          <w:rFonts w:ascii="Arial" w:eastAsiaTheme="minorEastAsia" w:hAnsi="Arial" w:cs="Arial"/>
          <w:noProof/>
          <w:kern w:val="2"/>
          <w:sz w:val="24"/>
          <w:szCs w:val="24"/>
          <w14:ligatures w14:val="standardContextual"/>
        </w:rPr>
      </w:pPr>
      <w:hyperlink w:anchor="_Toc211640918" w:history="1">
        <w:r w:rsidRPr="001255D1">
          <w:rPr>
            <w:rStyle w:val="Hyperlink"/>
            <w:rFonts w:ascii="Arial" w:hAnsi="Arial" w:cs="Arial"/>
            <w:bCs/>
            <w:noProof/>
            <w:lang w:val="en"/>
          </w:rPr>
          <w:t>III. Fund Manager</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_Toc211640918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w:t>
        </w:r>
        <w:r w:rsidRPr="001255D1">
          <w:rPr>
            <w:rFonts w:ascii="Arial" w:hAnsi="Arial" w:cs="Arial"/>
            <w:noProof/>
            <w:webHidden/>
          </w:rPr>
          <w:fldChar w:fldCharType="end"/>
        </w:r>
      </w:hyperlink>
    </w:p>
    <w:p w14:paraId="0DEC0B27" w14:textId="5EB395FD" w:rsidR="001255D1" w:rsidRPr="001255D1" w:rsidRDefault="001255D1">
      <w:pPr>
        <w:pStyle w:val="TOC3"/>
        <w:rPr>
          <w:rFonts w:ascii="Arial" w:eastAsiaTheme="minorEastAsia" w:hAnsi="Arial" w:cs="Arial"/>
          <w:noProof/>
          <w:kern w:val="2"/>
          <w:sz w:val="24"/>
          <w:szCs w:val="24"/>
          <w14:ligatures w14:val="standardContextual"/>
        </w:rPr>
      </w:pPr>
      <w:hyperlink w:anchor="_Toc211640919" w:history="1">
        <w:r w:rsidRPr="001255D1">
          <w:rPr>
            <w:rStyle w:val="Hyperlink"/>
            <w:rFonts w:ascii="Arial" w:hAnsi="Arial" w:cs="Arial"/>
            <w:bCs/>
            <w:noProof/>
            <w:lang w:val="en"/>
          </w:rPr>
          <w:t>IV. Fund Custodian</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_Toc211640919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23</w:t>
        </w:r>
        <w:r w:rsidRPr="001255D1">
          <w:rPr>
            <w:rFonts w:ascii="Arial" w:hAnsi="Arial" w:cs="Arial"/>
            <w:noProof/>
            <w:webHidden/>
          </w:rPr>
          <w:fldChar w:fldCharType="end"/>
        </w:r>
      </w:hyperlink>
    </w:p>
    <w:p w14:paraId="3374809B" w14:textId="2592519D" w:rsidR="001255D1" w:rsidRPr="001255D1" w:rsidRDefault="001255D1">
      <w:pPr>
        <w:pStyle w:val="TOC3"/>
        <w:rPr>
          <w:rFonts w:ascii="Arial" w:eastAsiaTheme="minorEastAsia" w:hAnsi="Arial" w:cs="Arial"/>
          <w:noProof/>
          <w:kern w:val="2"/>
          <w:sz w:val="24"/>
          <w:szCs w:val="24"/>
          <w14:ligatures w14:val="standardContextual"/>
        </w:rPr>
      </w:pPr>
      <w:hyperlink w:anchor="_Toc211640920" w:history="1">
        <w:r w:rsidRPr="001255D1">
          <w:rPr>
            <w:rStyle w:val="Hyperlink"/>
            <w:rFonts w:ascii="Arial" w:hAnsi="Arial" w:cs="Arial"/>
            <w:bCs/>
            <w:noProof/>
            <w:lang w:val="en"/>
          </w:rPr>
          <w:t>V. Relevant Service Agencies</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_Toc211640920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29</w:t>
        </w:r>
        <w:r w:rsidRPr="001255D1">
          <w:rPr>
            <w:rFonts w:ascii="Arial" w:hAnsi="Arial" w:cs="Arial"/>
            <w:noProof/>
            <w:webHidden/>
          </w:rPr>
          <w:fldChar w:fldCharType="end"/>
        </w:r>
      </w:hyperlink>
    </w:p>
    <w:p w14:paraId="17767EF2" w14:textId="5228BDFC" w:rsidR="001255D1" w:rsidRPr="001255D1" w:rsidRDefault="001255D1">
      <w:pPr>
        <w:pStyle w:val="TOC3"/>
        <w:rPr>
          <w:rFonts w:ascii="Arial" w:eastAsiaTheme="minorEastAsia" w:hAnsi="Arial" w:cs="Arial"/>
          <w:noProof/>
          <w:kern w:val="2"/>
          <w:sz w:val="24"/>
          <w:szCs w:val="24"/>
          <w14:ligatures w14:val="standardContextual"/>
        </w:rPr>
      </w:pPr>
      <w:hyperlink w:anchor="_Toc211640921" w:history="1">
        <w:r w:rsidRPr="001255D1">
          <w:rPr>
            <w:rStyle w:val="Hyperlink"/>
            <w:rFonts w:ascii="Arial" w:hAnsi="Arial" w:cs="Arial"/>
            <w:bCs/>
            <w:noProof/>
            <w:lang w:val="en"/>
          </w:rPr>
          <w:t>VI. Fund Offering</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_Toc211640921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56</w:t>
        </w:r>
        <w:r w:rsidRPr="001255D1">
          <w:rPr>
            <w:rFonts w:ascii="Arial" w:hAnsi="Arial" w:cs="Arial"/>
            <w:noProof/>
            <w:webHidden/>
          </w:rPr>
          <w:fldChar w:fldCharType="end"/>
        </w:r>
      </w:hyperlink>
    </w:p>
    <w:p w14:paraId="37F0CC14" w14:textId="1BC76DCF" w:rsidR="001255D1" w:rsidRPr="001255D1" w:rsidRDefault="001255D1">
      <w:pPr>
        <w:pStyle w:val="TOC3"/>
        <w:rPr>
          <w:rFonts w:ascii="Arial" w:eastAsiaTheme="minorEastAsia" w:hAnsi="Arial" w:cs="Arial"/>
          <w:noProof/>
          <w:kern w:val="2"/>
          <w:sz w:val="24"/>
          <w:szCs w:val="24"/>
          <w14:ligatures w14:val="standardContextual"/>
        </w:rPr>
      </w:pPr>
      <w:hyperlink w:anchor="_Toc211640922" w:history="1">
        <w:r w:rsidRPr="001255D1">
          <w:rPr>
            <w:rStyle w:val="Hyperlink"/>
            <w:rFonts w:ascii="Arial" w:hAnsi="Arial" w:cs="Arial"/>
            <w:bCs/>
            <w:noProof/>
            <w:lang w:val="en"/>
          </w:rPr>
          <w:t>VII. Effectiveness of the Fund Contract</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_Toc211640922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57</w:t>
        </w:r>
        <w:r w:rsidRPr="001255D1">
          <w:rPr>
            <w:rFonts w:ascii="Arial" w:hAnsi="Arial" w:cs="Arial"/>
            <w:noProof/>
            <w:webHidden/>
          </w:rPr>
          <w:fldChar w:fldCharType="end"/>
        </w:r>
      </w:hyperlink>
    </w:p>
    <w:p w14:paraId="2BD1DDA7" w14:textId="54D67F9F" w:rsidR="001255D1" w:rsidRPr="001255D1" w:rsidRDefault="001255D1">
      <w:pPr>
        <w:pStyle w:val="TOC3"/>
        <w:rPr>
          <w:rFonts w:ascii="Arial" w:eastAsiaTheme="minorEastAsia" w:hAnsi="Arial" w:cs="Arial"/>
          <w:noProof/>
          <w:kern w:val="2"/>
          <w:sz w:val="24"/>
          <w:szCs w:val="24"/>
          <w14:ligatures w14:val="standardContextual"/>
        </w:rPr>
      </w:pPr>
      <w:hyperlink w:anchor="_Toc211640923" w:history="1">
        <w:r w:rsidRPr="001255D1">
          <w:rPr>
            <w:rStyle w:val="Hyperlink"/>
            <w:rFonts w:ascii="Arial" w:hAnsi="Arial" w:cs="Arial"/>
            <w:bCs/>
            <w:noProof/>
            <w:lang w:val="en"/>
          </w:rPr>
          <w:t>VIII. Trading of Fund Units</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_Toc211640923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57</w:t>
        </w:r>
        <w:r w:rsidRPr="001255D1">
          <w:rPr>
            <w:rFonts w:ascii="Arial" w:hAnsi="Arial" w:cs="Arial"/>
            <w:noProof/>
            <w:webHidden/>
          </w:rPr>
          <w:fldChar w:fldCharType="end"/>
        </w:r>
      </w:hyperlink>
    </w:p>
    <w:p w14:paraId="2D3126F6" w14:textId="24B899F2" w:rsidR="001255D1" w:rsidRPr="001255D1" w:rsidRDefault="001255D1">
      <w:pPr>
        <w:pStyle w:val="TOC3"/>
        <w:rPr>
          <w:rFonts w:ascii="Arial" w:eastAsiaTheme="minorEastAsia" w:hAnsi="Arial" w:cs="Arial"/>
          <w:noProof/>
          <w:kern w:val="2"/>
          <w:sz w:val="24"/>
          <w:szCs w:val="24"/>
          <w14:ligatures w14:val="standardContextual"/>
        </w:rPr>
      </w:pPr>
      <w:hyperlink w:anchor="_Toc211640924" w:history="1">
        <w:r w:rsidRPr="001255D1">
          <w:rPr>
            <w:rStyle w:val="Hyperlink"/>
            <w:rFonts w:ascii="Arial" w:hAnsi="Arial" w:cs="Arial"/>
            <w:bCs/>
            <w:noProof/>
            <w:lang w:val="en"/>
          </w:rPr>
          <w:t>IX. Creation and Redemption of Fund Units</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_Toc211640924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59</w:t>
        </w:r>
        <w:r w:rsidRPr="001255D1">
          <w:rPr>
            <w:rFonts w:ascii="Arial" w:hAnsi="Arial" w:cs="Arial"/>
            <w:noProof/>
            <w:webHidden/>
          </w:rPr>
          <w:fldChar w:fldCharType="end"/>
        </w:r>
      </w:hyperlink>
    </w:p>
    <w:p w14:paraId="51B0764B" w14:textId="0574AA01" w:rsidR="001255D1" w:rsidRPr="001255D1" w:rsidRDefault="001255D1">
      <w:pPr>
        <w:pStyle w:val="TOC3"/>
        <w:rPr>
          <w:rFonts w:ascii="Arial" w:eastAsiaTheme="minorEastAsia" w:hAnsi="Arial" w:cs="Arial"/>
          <w:noProof/>
          <w:kern w:val="2"/>
          <w:sz w:val="24"/>
          <w:szCs w:val="24"/>
          <w14:ligatures w14:val="standardContextual"/>
        </w:rPr>
      </w:pPr>
      <w:hyperlink w:anchor="_Toc211640925" w:history="1">
        <w:r w:rsidRPr="001255D1">
          <w:rPr>
            <w:rStyle w:val="Hyperlink"/>
            <w:rFonts w:ascii="Arial" w:hAnsi="Arial" w:cs="Arial"/>
            <w:noProof/>
            <w:lang w:val="en"/>
          </w:rPr>
          <w:t>X. Fund Investments</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_Toc211640925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77</w:t>
        </w:r>
        <w:r w:rsidRPr="001255D1">
          <w:rPr>
            <w:rFonts w:ascii="Arial" w:hAnsi="Arial" w:cs="Arial"/>
            <w:noProof/>
            <w:webHidden/>
          </w:rPr>
          <w:fldChar w:fldCharType="end"/>
        </w:r>
      </w:hyperlink>
    </w:p>
    <w:p w14:paraId="79B70DA9" w14:textId="1718198E" w:rsidR="001255D1" w:rsidRPr="001255D1" w:rsidRDefault="001255D1">
      <w:pPr>
        <w:pStyle w:val="TOC3"/>
        <w:rPr>
          <w:rFonts w:ascii="Arial" w:eastAsiaTheme="minorEastAsia" w:hAnsi="Arial" w:cs="Arial"/>
          <w:noProof/>
          <w:kern w:val="2"/>
          <w:sz w:val="24"/>
          <w:szCs w:val="24"/>
          <w14:ligatures w14:val="standardContextual"/>
        </w:rPr>
      </w:pPr>
      <w:hyperlink w:anchor="_Toc211640926" w:history="1">
        <w:r w:rsidRPr="001255D1">
          <w:rPr>
            <w:rStyle w:val="Hyperlink"/>
            <w:rFonts w:ascii="Arial" w:hAnsi="Arial" w:cs="Arial"/>
            <w:noProof/>
            <w:lang w:val="en"/>
          </w:rPr>
          <w:t>The following information is excerpted from the Fund’s First Quarter 2025 Report:</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_Toc211640926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83</w:t>
        </w:r>
        <w:r w:rsidRPr="001255D1">
          <w:rPr>
            <w:rFonts w:ascii="Arial" w:hAnsi="Arial" w:cs="Arial"/>
            <w:noProof/>
            <w:webHidden/>
          </w:rPr>
          <w:fldChar w:fldCharType="end"/>
        </w:r>
      </w:hyperlink>
    </w:p>
    <w:p w14:paraId="7E93F43E" w14:textId="18AD5D96" w:rsidR="001255D1" w:rsidRPr="001255D1" w:rsidRDefault="001255D1">
      <w:pPr>
        <w:pStyle w:val="TOC3"/>
        <w:rPr>
          <w:rFonts w:ascii="Arial" w:eastAsiaTheme="minorEastAsia" w:hAnsi="Arial" w:cs="Arial"/>
          <w:noProof/>
          <w:kern w:val="2"/>
          <w:sz w:val="24"/>
          <w:szCs w:val="24"/>
          <w14:ligatures w14:val="standardContextual"/>
        </w:rPr>
      </w:pPr>
      <w:hyperlink w:anchor="_Toc211640927" w:history="1">
        <w:r w:rsidRPr="001255D1">
          <w:rPr>
            <w:rStyle w:val="Hyperlink"/>
            <w:rFonts w:ascii="Arial" w:hAnsi="Arial" w:cs="Arial"/>
            <w:noProof/>
            <w:lang w:val="en"/>
          </w:rPr>
          <w:t>5.1 Portfolio Composition as of the End of the Reporting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_Toc211640927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83</w:t>
        </w:r>
        <w:r w:rsidRPr="001255D1">
          <w:rPr>
            <w:rFonts w:ascii="Arial" w:hAnsi="Arial" w:cs="Arial"/>
            <w:noProof/>
            <w:webHidden/>
          </w:rPr>
          <w:fldChar w:fldCharType="end"/>
        </w:r>
      </w:hyperlink>
    </w:p>
    <w:p w14:paraId="0D0DE570" w14:textId="717C8D9B" w:rsidR="001255D1" w:rsidRPr="001255D1" w:rsidRDefault="001255D1">
      <w:pPr>
        <w:pStyle w:val="TOC3"/>
        <w:rPr>
          <w:rFonts w:ascii="Arial" w:eastAsiaTheme="minorEastAsia" w:hAnsi="Arial" w:cs="Arial"/>
          <w:noProof/>
          <w:kern w:val="2"/>
          <w:sz w:val="24"/>
          <w:szCs w:val="24"/>
          <w14:ligatures w14:val="standardContextual"/>
        </w:rPr>
      </w:pPr>
      <w:hyperlink w:anchor="_Toc211640928" w:history="1">
        <w:r w:rsidRPr="001255D1">
          <w:rPr>
            <w:rStyle w:val="Hyperlink"/>
            <w:rFonts w:ascii="Arial" w:hAnsi="Arial" w:cs="Arial"/>
            <w:noProof/>
            <w:lang w:val="en"/>
          </w:rPr>
          <w:t>5.2 Stock Portfolio by Industry as of the End of the Reporting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_Toc211640928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84</w:t>
        </w:r>
        <w:r w:rsidRPr="001255D1">
          <w:rPr>
            <w:rFonts w:ascii="Arial" w:hAnsi="Arial" w:cs="Arial"/>
            <w:noProof/>
            <w:webHidden/>
          </w:rPr>
          <w:fldChar w:fldCharType="end"/>
        </w:r>
      </w:hyperlink>
    </w:p>
    <w:p w14:paraId="6927B75A" w14:textId="19284195" w:rsidR="001255D1" w:rsidRPr="001255D1" w:rsidRDefault="001255D1">
      <w:pPr>
        <w:pStyle w:val="TOC3"/>
        <w:rPr>
          <w:rFonts w:ascii="Arial" w:eastAsiaTheme="minorEastAsia" w:hAnsi="Arial" w:cs="Arial"/>
          <w:noProof/>
          <w:kern w:val="2"/>
          <w:sz w:val="24"/>
          <w:szCs w:val="24"/>
          <w14:ligatures w14:val="standardContextual"/>
        </w:rPr>
      </w:pPr>
      <w:hyperlink w:anchor="_Toc211640929" w:history="1">
        <w:r w:rsidRPr="001255D1">
          <w:rPr>
            <w:rStyle w:val="Hyperlink"/>
            <w:rFonts w:ascii="Arial" w:hAnsi="Arial" w:cs="Arial"/>
            <w:noProof/>
            <w:lang w:val="en"/>
          </w:rPr>
          <w:t>5.2.1 Domestic Stock Portfolio by Industry as of the End of the Reporting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_Toc211640929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84</w:t>
        </w:r>
        <w:r w:rsidRPr="001255D1">
          <w:rPr>
            <w:rFonts w:ascii="Arial" w:hAnsi="Arial" w:cs="Arial"/>
            <w:noProof/>
            <w:webHidden/>
          </w:rPr>
          <w:fldChar w:fldCharType="end"/>
        </w:r>
      </w:hyperlink>
    </w:p>
    <w:p w14:paraId="33B1E458" w14:textId="2290B3B2" w:rsidR="001255D1" w:rsidRPr="001255D1" w:rsidRDefault="001255D1">
      <w:pPr>
        <w:pStyle w:val="TOC3"/>
        <w:rPr>
          <w:rFonts w:ascii="Arial" w:eastAsiaTheme="minorEastAsia" w:hAnsi="Arial" w:cs="Arial"/>
          <w:noProof/>
          <w:kern w:val="2"/>
          <w:sz w:val="24"/>
          <w:szCs w:val="24"/>
          <w14:ligatures w14:val="standardContextual"/>
        </w:rPr>
      </w:pPr>
      <w:hyperlink w:anchor="_Toc211640930" w:history="1">
        <w:r w:rsidRPr="001255D1">
          <w:rPr>
            <w:rStyle w:val="Hyperlink"/>
            <w:rFonts w:ascii="Arial" w:hAnsi="Arial" w:cs="Arial"/>
            <w:noProof/>
            <w:lang w:val="en"/>
          </w:rPr>
          <w:t>5.3 Top Ten Stock Holdings by Fair Value as a Percentage of the Fund NAV as of the End of the Reporting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_Toc211640930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85</w:t>
        </w:r>
        <w:r w:rsidRPr="001255D1">
          <w:rPr>
            <w:rFonts w:ascii="Arial" w:hAnsi="Arial" w:cs="Arial"/>
            <w:noProof/>
            <w:webHidden/>
          </w:rPr>
          <w:fldChar w:fldCharType="end"/>
        </w:r>
      </w:hyperlink>
    </w:p>
    <w:p w14:paraId="4A91C5FB" w14:textId="59E44DE4" w:rsidR="001255D1" w:rsidRPr="001255D1" w:rsidRDefault="001255D1">
      <w:pPr>
        <w:pStyle w:val="TOC3"/>
        <w:rPr>
          <w:rFonts w:ascii="Arial" w:eastAsiaTheme="minorEastAsia" w:hAnsi="Arial" w:cs="Arial"/>
          <w:noProof/>
          <w:kern w:val="2"/>
          <w:sz w:val="24"/>
          <w:szCs w:val="24"/>
          <w14:ligatures w14:val="standardContextual"/>
        </w:rPr>
      </w:pPr>
      <w:hyperlink w:anchor="_Toc211640931" w:history="1">
        <w:r w:rsidRPr="001255D1">
          <w:rPr>
            <w:rStyle w:val="Hyperlink"/>
            <w:rFonts w:ascii="Arial" w:hAnsi="Arial" w:cs="Arial"/>
            <w:noProof/>
            <w:lang w:val="en"/>
          </w:rPr>
          <w:t>5.4 Bond Portfolio by Bond Type as of the End of the Reporting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_Toc211640931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86</w:t>
        </w:r>
        <w:r w:rsidRPr="001255D1">
          <w:rPr>
            <w:rFonts w:ascii="Arial" w:hAnsi="Arial" w:cs="Arial"/>
            <w:noProof/>
            <w:webHidden/>
          </w:rPr>
          <w:fldChar w:fldCharType="end"/>
        </w:r>
      </w:hyperlink>
    </w:p>
    <w:p w14:paraId="556508FF" w14:textId="096B009E" w:rsidR="001255D1" w:rsidRPr="001255D1" w:rsidRDefault="001255D1">
      <w:pPr>
        <w:pStyle w:val="TOC3"/>
        <w:rPr>
          <w:rFonts w:ascii="Arial" w:eastAsiaTheme="minorEastAsia" w:hAnsi="Arial" w:cs="Arial"/>
          <w:noProof/>
          <w:kern w:val="2"/>
          <w:sz w:val="24"/>
          <w:szCs w:val="24"/>
          <w14:ligatures w14:val="standardContextual"/>
        </w:rPr>
      </w:pPr>
      <w:hyperlink w:anchor="_Toc211640932" w:history="1">
        <w:r w:rsidRPr="001255D1">
          <w:rPr>
            <w:rStyle w:val="Hyperlink"/>
            <w:rFonts w:ascii="Arial" w:hAnsi="Arial" w:cs="Arial"/>
            <w:noProof/>
            <w:lang w:val="en"/>
          </w:rPr>
          <w:t>5.5 Top Five Bond Holdings by Fair Value as a Percentage of the Fund NAV as of the End of the Reporting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_Toc211640932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86</w:t>
        </w:r>
        <w:r w:rsidRPr="001255D1">
          <w:rPr>
            <w:rFonts w:ascii="Arial" w:hAnsi="Arial" w:cs="Arial"/>
            <w:noProof/>
            <w:webHidden/>
          </w:rPr>
          <w:fldChar w:fldCharType="end"/>
        </w:r>
      </w:hyperlink>
    </w:p>
    <w:p w14:paraId="2016FE2C" w14:textId="40A2AED1" w:rsidR="001255D1" w:rsidRPr="001255D1" w:rsidRDefault="001255D1">
      <w:pPr>
        <w:pStyle w:val="TOC3"/>
        <w:rPr>
          <w:rFonts w:ascii="Arial" w:eastAsiaTheme="minorEastAsia" w:hAnsi="Arial" w:cs="Arial"/>
          <w:noProof/>
          <w:kern w:val="2"/>
          <w:sz w:val="24"/>
          <w:szCs w:val="24"/>
          <w14:ligatures w14:val="standardContextual"/>
        </w:rPr>
      </w:pPr>
      <w:hyperlink w:anchor="_Toc211640933" w:history="1">
        <w:r w:rsidRPr="001255D1">
          <w:rPr>
            <w:rStyle w:val="Hyperlink"/>
            <w:rFonts w:ascii="Arial" w:hAnsi="Arial" w:cs="Arial"/>
            <w:noProof/>
            <w:lang w:val="en"/>
          </w:rPr>
          <w:t>5.6 Top Ten Asset-Backed Securities Holdings by Fair Value as a Percentage of the Fund NAV as of the End of the Reporting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_Toc211640933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86</w:t>
        </w:r>
        <w:r w:rsidRPr="001255D1">
          <w:rPr>
            <w:rFonts w:ascii="Arial" w:hAnsi="Arial" w:cs="Arial"/>
            <w:noProof/>
            <w:webHidden/>
          </w:rPr>
          <w:fldChar w:fldCharType="end"/>
        </w:r>
      </w:hyperlink>
    </w:p>
    <w:p w14:paraId="2D21A82A" w14:textId="336C9D86" w:rsidR="001255D1" w:rsidRPr="001255D1" w:rsidRDefault="001255D1">
      <w:pPr>
        <w:pStyle w:val="TOC3"/>
        <w:rPr>
          <w:rFonts w:ascii="Arial" w:eastAsiaTheme="minorEastAsia" w:hAnsi="Arial" w:cs="Arial"/>
          <w:noProof/>
          <w:kern w:val="2"/>
          <w:sz w:val="24"/>
          <w:szCs w:val="24"/>
          <w14:ligatures w14:val="standardContextual"/>
        </w:rPr>
      </w:pPr>
      <w:hyperlink w:anchor="_Toc211640934" w:history="1">
        <w:r w:rsidRPr="001255D1">
          <w:rPr>
            <w:rStyle w:val="Hyperlink"/>
            <w:rFonts w:ascii="Arial" w:hAnsi="Arial" w:cs="Arial"/>
            <w:noProof/>
            <w:lang w:val="en"/>
          </w:rPr>
          <w:t>5.7 Top Five Precious Metal Holdings by Fair Value as a Percentage of the Fund NAV as of the End of the Reporting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_Toc211640934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86</w:t>
        </w:r>
        <w:r w:rsidRPr="001255D1">
          <w:rPr>
            <w:rFonts w:ascii="Arial" w:hAnsi="Arial" w:cs="Arial"/>
            <w:noProof/>
            <w:webHidden/>
          </w:rPr>
          <w:fldChar w:fldCharType="end"/>
        </w:r>
      </w:hyperlink>
    </w:p>
    <w:p w14:paraId="7F3D265A" w14:textId="0C875BE6" w:rsidR="001255D1" w:rsidRPr="001255D1" w:rsidRDefault="001255D1">
      <w:pPr>
        <w:pStyle w:val="TOC3"/>
        <w:rPr>
          <w:rFonts w:ascii="Arial" w:eastAsiaTheme="minorEastAsia" w:hAnsi="Arial" w:cs="Arial"/>
          <w:noProof/>
          <w:kern w:val="2"/>
          <w:sz w:val="24"/>
          <w:szCs w:val="24"/>
          <w14:ligatures w14:val="standardContextual"/>
        </w:rPr>
      </w:pPr>
      <w:hyperlink w:anchor="_Toc211640935" w:history="1">
        <w:r w:rsidRPr="001255D1">
          <w:rPr>
            <w:rStyle w:val="Hyperlink"/>
            <w:rFonts w:ascii="Arial" w:hAnsi="Arial" w:cs="Arial"/>
            <w:noProof/>
            <w:lang w:val="en"/>
          </w:rPr>
          <w:t>5.8 Top Five Warrant Holdings by Fair Value as a Percentage of the Fund NAV as of the End of the Reporting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_Toc211640935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86</w:t>
        </w:r>
        <w:r w:rsidRPr="001255D1">
          <w:rPr>
            <w:rFonts w:ascii="Arial" w:hAnsi="Arial" w:cs="Arial"/>
            <w:noProof/>
            <w:webHidden/>
          </w:rPr>
          <w:fldChar w:fldCharType="end"/>
        </w:r>
      </w:hyperlink>
    </w:p>
    <w:p w14:paraId="67F53564" w14:textId="2389C7C8" w:rsidR="001255D1" w:rsidRPr="001255D1" w:rsidRDefault="001255D1">
      <w:pPr>
        <w:pStyle w:val="TOC3"/>
        <w:rPr>
          <w:rFonts w:ascii="Arial" w:eastAsiaTheme="minorEastAsia" w:hAnsi="Arial" w:cs="Arial"/>
          <w:noProof/>
          <w:kern w:val="2"/>
          <w:sz w:val="24"/>
          <w:szCs w:val="24"/>
          <w14:ligatures w14:val="standardContextual"/>
        </w:rPr>
      </w:pPr>
      <w:hyperlink w:anchor="_Toc211640936" w:history="1">
        <w:r w:rsidRPr="001255D1">
          <w:rPr>
            <w:rStyle w:val="Hyperlink"/>
            <w:rFonts w:ascii="Arial" w:hAnsi="Arial" w:cs="Arial"/>
            <w:noProof/>
            <w:lang w:val="en"/>
          </w:rPr>
          <w:t>5.9 Stock Index Futures Positions as of the End of the Reporting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_Toc211640936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86</w:t>
        </w:r>
        <w:r w:rsidRPr="001255D1">
          <w:rPr>
            <w:rFonts w:ascii="Arial" w:hAnsi="Arial" w:cs="Arial"/>
            <w:noProof/>
            <w:webHidden/>
          </w:rPr>
          <w:fldChar w:fldCharType="end"/>
        </w:r>
      </w:hyperlink>
    </w:p>
    <w:p w14:paraId="450E3058" w14:textId="68C7F2C9" w:rsidR="001255D1" w:rsidRPr="001255D1" w:rsidRDefault="001255D1">
      <w:pPr>
        <w:pStyle w:val="TOC3"/>
        <w:rPr>
          <w:rFonts w:ascii="Arial" w:eastAsiaTheme="minorEastAsia" w:hAnsi="Arial" w:cs="Arial"/>
          <w:noProof/>
          <w:kern w:val="2"/>
          <w:sz w:val="24"/>
          <w:szCs w:val="24"/>
          <w14:ligatures w14:val="standardContextual"/>
        </w:rPr>
      </w:pPr>
      <w:hyperlink w:anchor="_Toc211640937" w:history="1">
        <w:r w:rsidRPr="001255D1">
          <w:rPr>
            <w:rStyle w:val="Hyperlink"/>
            <w:rFonts w:ascii="Arial" w:hAnsi="Arial" w:cs="Arial"/>
            <w:noProof/>
            <w:lang w:val="en"/>
          </w:rPr>
          <w:t>5.9.1 Stock Index Futures Positions and Profit and Loss as of the End of the Reporting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_Toc211640937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86</w:t>
        </w:r>
        <w:r w:rsidRPr="001255D1">
          <w:rPr>
            <w:rFonts w:ascii="Arial" w:hAnsi="Arial" w:cs="Arial"/>
            <w:noProof/>
            <w:webHidden/>
          </w:rPr>
          <w:fldChar w:fldCharType="end"/>
        </w:r>
      </w:hyperlink>
    </w:p>
    <w:p w14:paraId="4C6172D7" w14:textId="501AABB9" w:rsidR="001255D1" w:rsidRPr="001255D1" w:rsidRDefault="001255D1">
      <w:pPr>
        <w:pStyle w:val="TOC3"/>
        <w:rPr>
          <w:rFonts w:ascii="Arial" w:eastAsiaTheme="minorEastAsia" w:hAnsi="Arial" w:cs="Arial"/>
          <w:noProof/>
          <w:kern w:val="2"/>
          <w:sz w:val="24"/>
          <w:szCs w:val="24"/>
          <w14:ligatures w14:val="standardContextual"/>
        </w:rPr>
      </w:pPr>
      <w:hyperlink w:anchor="_Toc211640938" w:history="1">
        <w:r w:rsidRPr="001255D1">
          <w:rPr>
            <w:rStyle w:val="Hyperlink"/>
            <w:rFonts w:ascii="Arial" w:hAnsi="Arial" w:cs="Arial"/>
            <w:noProof/>
            <w:lang w:val="en"/>
          </w:rPr>
          <w:t>5.9.2 Fund Investment Policy for Stock Index Futures</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_Toc211640938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87</w:t>
        </w:r>
        <w:r w:rsidRPr="001255D1">
          <w:rPr>
            <w:rFonts w:ascii="Arial" w:hAnsi="Arial" w:cs="Arial"/>
            <w:noProof/>
            <w:webHidden/>
          </w:rPr>
          <w:fldChar w:fldCharType="end"/>
        </w:r>
      </w:hyperlink>
    </w:p>
    <w:p w14:paraId="517F77E6" w14:textId="2C25E17E" w:rsidR="001255D1" w:rsidRPr="001255D1" w:rsidRDefault="001255D1">
      <w:pPr>
        <w:pStyle w:val="TOC3"/>
        <w:rPr>
          <w:rFonts w:ascii="Arial" w:eastAsiaTheme="minorEastAsia" w:hAnsi="Arial" w:cs="Arial"/>
          <w:noProof/>
          <w:kern w:val="2"/>
          <w:sz w:val="24"/>
          <w:szCs w:val="24"/>
          <w14:ligatures w14:val="standardContextual"/>
        </w:rPr>
      </w:pPr>
      <w:hyperlink w:anchor="_Toc211640939" w:history="1">
        <w:r w:rsidRPr="001255D1">
          <w:rPr>
            <w:rStyle w:val="Hyperlink"/>
            <w:rFonts w:ascii="Arial" w:hAnsi="Arial" w:cs="Arial"/>
            <w:noProof/>
            <w:lang w:val="en"/>
          </w:rPr>
          <w:t>5.10 Government Bond Futures Positions as of the End of the Reporting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_Toc211640939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87</w:t>
        </w:r>
        <w:r w:rsidRPr="001255D1">
          <w:rPr>
            <w:rFonts w:ascii="Arial" w:hAnsi="Arial" w:cs="Arial"/>
            <w:noProof/>
            <w:webHidden/>
          </w:rPr>
          <w:fldChar w:fldCharType="end"/>
        </w:r>
      </w:hyperlink>
    </w:p>
    <w:p w14:paraId="22278B92" w14:textId="2B257243" w:rsidR="001255D1" w:rsidRPr="001255D1" w:rsidRDefault="001255D1">
      <w:pPr>
        <w:pStyle w:val="TOC3"/>
        <w:rPr>
          <w:rFonts w:ascii="Arial" w:eastAsiaTheme="minorEastAsia" w:hAnsi="Arial" w:cs="Arial"/>
          <w:noProof/>
          <w:kern w:val="2"/>
          <w:sz w:val="24"/>
          <w:szCs w:val="24"/>
          <w14:ligatures w14:val="standardContextual"/>
        </w:rPr>
      </w:pPr>
      <w:hyperlink w:anchor="_Toc211640940" w:history="1">
        <w:r w:rsidRPr="001255D1">
          <w:rPr>
            <w:rStyle w:val="Hyperlink"/>
            <w:rFonts w:ascii="Arial" w:hAnsi="Arial" w:cs="Arial"/>
            <w:noProof/>
            <w:lang w:val="en"/>
          </w:rPr>
          <w:t>5.10.1 Investment Policy for Government Bond Futures for the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_Toc211640940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87</w:t>
        </w:r>
        <w:r w:rsidRPr="001255D1">
          <w:rPr>
            <w:rFonts w:ascii="Arial" w:hAnsi="Arial" w:cs="Arial"/>
            <w:noProof/>
            <w:webHidden/>
          </w:rPr>
          <w:fldChar w:fldCharType="end"/>
        </w:r>
      </w:hyperlink>
    </w:p>
    <w:p w14:paraId="622231C9" w14:textId="67A57C3B" w:rsidR="001255D1" w:rsidRPr="001255D1" w:rsidRDefault="001255D1">
      <w:pPr>
        <w:pStyle w:val="TOC3"/>
        <w:rPr>
          <w:rFonts w:ascii="Arial" w:eastAsiaTheme="minorEastAsia" w:hAnsi="Arial" w:cs="Arial"/>
          <w:noProof/>
          <w:kern w:val="2"/>
          <w:sz w:val="24"/>
          <w:szCs w:val="24"/>
          <w14:ligatures w14:val="standardContextual"/>
        </w:rPr>
      </w:pPr>
      <w:hyperlink w:anchor="_Toc211640941" w:history="1">
        <w:r w:rsidRPr="001255D1">
          <w:rPr>
            <w:rStyle w:val="Hyperlink"/>
            <w:rFonts w:ascii="Arial" w:hAnsi="Arial" w:cs="Arial"/>
            <w:noProof/>
            <w:lang w:val="en"/>
          </w:rPr>
          <w:t>5.10.2 Government Bond Futures Positions and Profit and Loss as of the End of the Reporting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_Toc211640941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87</w:t>
        </w:r>
        <w:r w:rsidRPr="001255D1">
          <w:rPr>
            <w:rFonts w:ascii="Arial" w:hAnsi="Arial" w:cs="Arial"/>
            <w:noProof/>
            <w:webHidden/>
          </w:rPr>
          <w:fldChar w:fldCharType="end"/>
        </w:r>
      </w:hyperlink>
    </w:p>
    <w:p w14:paraId="54DCCC60" w14:textId="3FF1C77A" w:rsidR="001255D1" w:rsidRPr="001255D1" w:rsidRDefault="001255D1">
      <w:pPr>
        <w:pStyle w:val="TOC3"/>
        <w:rPr>
          <w:rFonts w:ascii="Arial" w:eastAsiaTheme="minorEastAsia" w:hAnsi="Arial" w:cs="Arial"/>
          <w:noProof/>
          <w:kern w:val="2"/>
          <w:sz w:val="24"/>
          <w:szCs w:val="24"/>
          <w14:ligatures w14:val="standardContextual"/>
        </w:rPr>
      </w:pPr>
      <w:hyperlink w:anchor="_Toc211640942" w:history="1">
        <w:r w:rsidRPr="001255D1">
          <w:rPr>
            <w:rStyle w:val="Hyperlink"/>
            <w:rFonts w:ascii="Arial" w:hAnsi="Arial" w:cs="Arial"/>
            <w:noProof/>
            <w:lang w:val="en"/>
          </w:rPr>
          <w:t>5.10.3 Evaluation of Government Bond Futures Investments for the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_Toc211640942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87</w:t>
        </w:r>
        <w:r w:rsidRPr="001255D1">
          <w:rPr>
            <w:rFonts w:ascii="Arial" w:hAnsi="Arial" w:cs="Arial"/>
            <w:noProof/>
            <w:webHidden/>
          </w:rPr>
          <w:fldChar w:fldCharType="end"/>
        </w:r>
      </w:hyperlink>
    </w:p>
    <w:p w14:paraId="35996F58" w14:textId="3FDE6A35" w:rsidR="001255D1" w:rsidRPr="001255D1" w:rsidRDefault="001255D1">
      <w:pPr>
        <w:pStyle w:val="TOC3"/>
        <w:rPr>
          <w:rFonts w:ascii="Arial" w:eastAsiaTheme="minorEastAsia" w:hAnsi="Arial" w:cs="Arial"/>
          <w:noProof/>
          <w:kern w:val="2"/>
          <w:sz w:val="24"/>
          <w:szCs w:val="24"/>
          <w14:ligatures w14:val="standardContextual"/>
        </w:rPr>
      </w:pPr>
      <w:hyperlink w:anchor="_Toc211640943" w:history="1">
        <w:r w:rsidRPr="001255D1">
          <w:rPr>
            <w:rStyle w:val="Hyperlink"/>
            <w:rFonts w:ascii="Arial" w:hAnsi="Arial" w:cs="Arial"/>
            <w:noProof/>
            <w:lang w:val="en"/>
          </w:rPr>
          <w:t>5.11 Notes to the Portfolio Report</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_Toc211640943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88</w:t>
        </w:r>
        <w:r w:rsidRPr="001255D1">
          <w:rPr>
            <w:rFonts w:ascii="Arial" w:hAnsi="Arial" w:cs="Arial"/>
            <w:noProof/>
            <w:webHidden/>
          </w:rPr>
          <w:fldChar w:fldCharType="end"/>
        </w:r>
      </w:hyperlink>
    </w:p>
    <w:p w14:paraId="5A514F18" w14:textId="784FDBA1" w:rsidR="001255D1" w:rsidRPr="001255D1" w:rsidRDefault="001255D1">
      <w:pPr>
        <w:pStyle w:val="TOC3"/>
        <w:rPr>
          <w:rFonts w:ascii="Arial" w:eastAsiaTheme="minorEastAsia" w:hAnsi="Arial" w:cs="Arial"/>
          <w:noProof/>
          <w:kern w:val="2"/>
          <w:sz w:val="24"/>
          <w:szCs w:val="24"/>
          <w14:ligatures w14:val="standardContextual"/>
        </w:rPr>
      </w:pPr>
      <w:hyperlink w:anchor="_Toc211640944" w:history="1">
        <w:r w:rsidRPr="001255D1">
          <w:rPr>
            <w:rStyle w:val="Hyperlink"/>
            <w:rFonts w:ascii="Arial" w:hAnsi="Arial" w:cs="Arial"/>
            <w:noProof/>
            <w:lang w:val="en"/>
          </w:rPr>
          <w:t>5.11.1 Among the issuers of the Fund’s top ten securities holdings, Industrial Bank Co., Ltd. and China Merchants Bank Co., Ltd. were publicly censured or penalized by regulatory authorities within one year prior to the report preparation date. As an index fund that adopts a full replication strategy—and as both China Merchants Bank and Industrial Bank are constituent securities of the Underlying Index—the investment decision-making process for these securities complies with relevant laws, regulations, and the provisions of the Fund Contract.</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_Toc211640944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88</w:t>
        </w:r>
        <w:r w:rsidRPr="001255D1">
          <w:rPr>
            <w:rFonts w:ascii="Arial" w:hAnsi="Arial" w:cs="Arial"/>
            <w:noProof/>
            <w:webHidden/>
          </w:rPr>
          <w:fldChar w:fldCharType="end"/>
        </w:r>
      </w:hyperlink>
    </w:p>
    <w:p w14:paraId="7C543A89" w14:textId="4825494F" w:rsidR="001255D1" w:rsidRPr="001255D1" w:rsidRDefault="001255D1">
      <w:pPr>
        <w:pStyle w:val="TOC3"/>
        <w:rPr>
          <w:rFonts w:ascii="Arial" w:eastAsiaTheme="minorEastAsia" w:hAnsi="Arial" w:cs="Arial"/>
          <w:noProof/>
          <w:kern w:val="2"/>
          <w:sz w:val="24"/>
          <w:szCs w:val="24"/>
          <w14:ligatures w14:val="standardContextual"/>
        </w:rPr>
      </w:pPr>
      <w:hyperlink w:anchor="_Toc211640945" w:history="1">
        <w:r w:rsidRPr="001255D1">
          <w:rPr>
            <w:rStyle w:val="Hyperlink"/>
            <w:rFonts w:ascii="Arial" w:hAnsi="Arial" w:cs="Arial"/>
            <w:noProof/>
            <w:lang w:val="en"/>
          </w:rPr>
          <w:t>5.11.2 The Fund’s top ten stock holdings were all within the the approved stock universe specified in the Fund Contract.</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_Toc211640945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88</w:t>
        </w:r>
        <w:r w:rsidRPr="001255D1">
          <w:rPr>
            <w:rFonts w:ascii="Arial" w:hAnsi="Arial" w:cs="Arial"/>
            <w:noProof/>
            <w:webHidden/>
          </w:rPr>
          <w:fldChar w:fldCharType="end"/>
        </w:r>
      </w:hyperlink>
    </w:p>
    <w:p w14:paraId="46568C69" w14:textId="42280C80" w:rsidR="001255D1" w:rsidRPr="001255D1" w:rsidRDefault="001255D1">
      <w:pPr>
        <w:pStyle w:val="TOC3"/>
        <w:rPr>
          <w:rFonts w:ascii="Arial" w:eastAsiaTheme="minorEastAsia" w:hAnsi="Arial" w:cs="Arial"/>
          <w:noProof/>
          <w:kern w:val="2"/>
          <w:sz w:val="24"/>
          <w:szCs w:val="24"/>
          <w14:ligatures w14:val="standardContextual"/>
        </w:rPr>
      </w:pPr>
      <w:hyperlink w:anchor="_Toc211640946" w:history="1">
        <w:r w:rsidRPr="001255D1">
          <w:rPr>
            <w:rStyle w:val="Hyperlink"/>
            <w:rFonts w:ascii="Arial" w:hAnsi="Arial" w:cs="Arial"/>
            <w:noProof/>
            <w:lang w:val="en"/>
          </w:rPr>
          <w:t>5.11.3 Composition of Other Assets</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_Toc211640946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88</w:t>
        </w:r>
        <w:r w:rsidRPr="001255D1">
          <w:rPr>
            <w:rFonts w:ascii="Arial" w:hAnsi="Arial" w:cs="Arial"/>
            <w:noProof/>
            <w:webHidden/>
          </w:rPr>
          <w:fldChar w:fldCharType="end"/>
        </w:r>
      </w:hyperlink>
    </w:p>
    <w:p w14:paraId="01556EB1" w14:textId="2DEF4722" w:rsidR="001255D1" w:rsidRPr="001255D1" w:rsidRDefault="001255D1">
      <w:pPr>
        <w:pStyle w:val="TOC3"/>
        <w:rPr>
          <w:rFonts w:ascii="Arial" w:eastAsiaTheme="minorEastAsia" w:hAnsi="Arial" w:cs="Arial"/>
          <w:noProof/>
          <w:kern w:val="2"/>
          <w:sz w:val="24"/>
          <w:szCs w:val="24"/>
          <w14:ligatures w14:val="standardContextual"/>
        </w:rPr>
      </w:pPr>
      <w:hyperlink w:anchor="_Toc211640947" w:history="1">
        <w:r w:rsidRPr="001255D1">
          <w:rPr>
            <w:rStyle w:val="Hyperlink"/>
            <w:rFonts w:ascii="Arial" w:hAnsi="Arial" w:cs="Arial"/>
            <w:noProof/>
            <w:lang w:val="en"/>
          </w:rPr>
          <w:t>5.11.4 Convertible Bonds in Conversion Period Held as of the End of the Reporting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_Toc211640947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88</w:t>
        </w:r>
        <w:r w:rsidRPr="001255D1">
          <w:rPr>
            <w:rFonts w:ascii="Arial" w:hAnsi="Arial" w:cs="Arial"/>
            <w:noProof/>
            <w:webHidden/>
          </w:rPr>
          <w:fldChar w:fldCharType="end"/>
        </w:r>
      </w:hyperlink>
    </w:p>
    <w:p w14:paraId="458427E9" w14:textId="4753E613" w:rsidR="001255D1" w:rsidRPr="001255D1" w:rsidRDefault="001255D1">
      <w:pPr>
        <w:pStyle w:val="TOC3"/>
        <w:rPr>
          <w:rFonts w:ascii="Arial" w:eastAsiaTheme="minorEastAsia" w:hAnsi="Arial" w:cs="Arial"/>
          <w:noProof/>
          <w:kern w:val="2"/>
          <w:sz w:val="24"/>
          <w:szCs w:val="24"/>
          <w14:ligatures w14:val="standardContextual"/>
        </w:rPr>
      </w:pPr>
      <w:hyperlink w:anchor="_Toc211640948" w:history="1">
        <w:r w:rsidRPr="001255D1">
          <w:rPr>
            <w:rStyle w:val="Hyperlink"/>
            <w:rFonts w:ascii="Arial" w:hAnsi="Arial" w:cs="Arial"/>
            <w:noProof/>
            <w:lang w:val="en"/>
          </w:rPr>
          <w:t>5.11.5 Disclosure on Trading Restrictions within the Top Ten Stock Holdings as of the End of the Reporting Period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_Toc211640948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88</w:t>
        </w:r>
        <w:r w:rsidRPr="001255D1">
          <w:rPr>
            <w:rFonts w:ascii="Arial" w:hAnsi="Arial" w:cs="Arial"/>
            <w:noProof/>
            <w:webHidden/>
          </w:rPr>
          <w:fldChar w:fldCharType="end"/>
        </w:r>
      </w:hyperlink>
    </w:p>
    <w:p w14:paraId="79FBE48B" w14:textId="4F1934A7" w:rsidR="001255D1" w:rsidRPr="001255D1" w:rsidRDefault="001255D1">
      <w:pPr>
        <w:pStyle w:val="TOC3"/>
        <w:rPr>
          <w:rFonts w:ascii="Arial" w:eastAsiaTheme="minorEastAsia" w:hAnsi="Arial" w:cs="Arial"/>
          <w:noProof/>
          <w:kern w:val="2"/>
          <w:sz w:val="24"/>
          <w:szCs w:val="24"/>
          <w14:ligatures w14:val="standardContextual"/>
        </w:rPr>
      </w:pPr>
      <w:hyperlink w:anchor="_Toc211640949" w:history="1">
        <w:r w:rsidRPr="001255D1">
          <w:rPr>
            <w:rStyle w:val="Hyperlink"/>
            <w:rFonts w:ascii="Arial" w:hAnsi="Arial" w:cs="Arial"/>
            <w:noProof/>
            <w:lang w:val="en"/>
          </w:rPr>
          <w:t>5.11.6 Other Explanatory Notes</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_Toc211640949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89</w:t>
        </w:r>
        <w:r w:rsidRPr="001255D1">
          <w:rPr>
            <w:rFonts w:ascii="Arial" w:hAnsi="Arial" w:cs="Arial"/>
            <w:noProof/>
            <w:webHidden/>
          </w:rPr>
          <w:fldChar w:fldCharType="end"/>
        </w:r>
      </w:hyperlink>
    </w:p>
    <w:p w14:paraId="4F7B9810" w14:textId="1AD1AF92" w:rsidR="001255D1" w:rsidRPr="001255D1" w:rsidRDefault="001255D1">
      <w:pPr>
        <w:pStyle w:val="TOC3"/>
        <w:rPr>
          <w:rFonts w:ascii="Arial" w:eastAsiaTheme="minorEastAsia" w:hAnsi="Arial" w:cs="Arial"/>
          <w:noProof/>
          <w:kern w:val="2"/>
          <w:sz w:val="24"/>
          <w:szCs w:val="24"/>
          <w14:ligatures w14:val="standardContextual"/>
        </w:rPr>
      </w:pPr>
      <w:hyperlink w:anchor="_Toc211640950" w:history="1">
        <w:r w:rsidRPr="001255D1">
          <w:rPr>
            <w:rStyle w:val="Hyperlink"/>
            <w:rFonts w:ascii="Arial" w:hAnsi="Arial" w:cs="Arial"/>
            <w:bCs/>
            <w:noProof/>
            <w:lang w:val="en"/>
          </w:rPr>
          <w:t>XI. Fund Performance</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_Toc211640950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89</w:t>
        </w:r>
        <w:r w:rsidRPr="001255D1">
          <w:rPr>
            <w:rFonts w:ascii="Arial" w:hAnsi="Arial" w:cs="Arial"/>
            <w:noProof/>
            <w:webHidden/>
          </w:rPr>
          <w:fldChar w:fldCharType="end"/>
        </w:r>
      </w:hyperlink>
    </w:p>
    <w:p w14:paraId="5385897C" w14:textId="09E79D50" w:rsidR="001255D1" w:rsidRPr="001255D1" w:rsidRDefault="001255D1">
      <w:pPr>
        <w:pStyle w:val="TOC3"/>
        <w:rPr>
          <w:rFonts w:ascii="Arial" w:eastAsiaTheme="minorEastAsia" w:hAnsi="Arial" w:cs="Arial"/>
          <w:noProof/>
          <w:kern w:val="2"/>
          <w:sz w:val="24"/>
          <w:szCs w:val="24"/>
          <w14:ligatures w14:val="standardContextual"/>
        </w:rPr>
      </w:pPr>
      <w:hyperlink w:anchor="_Toc211640951" w:history="1">
        <w:r w:rsidRPr="001255D1">
          <w:rPr>
            <w:rStyle w:val="Hyperlink"/>
            <w:rFonts w:ascii="Arial" w:hAnsi="Arial" w:cs="Arial"/>
            <w:bCs/>
            <w:noProof/>
            <w:lang w:val="en"/>
          </w:rPr>
          <w:t>XII. Fund Property</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_Toc211640951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91</w:t>
        </w:r>
        <w:r w:rsidRPr="001255D1">
          <w:rPr>
            <w:rFonts w:ascii="Arial" w:hAnsi="Arial" w:cs="Arial"/>
            <w:noProof/>
            <w:webHidden/>
          </w:rPr>
          <w:fldChar w:fldCharType="end"/>
        </w:r>
      </w:hyperlink>
    </w:p>
    <w:p w14:paraId="44F8348F" w14:textId="07EB1E90" w:rsidR="001255D1" w:rsidRPr="001255D1" w:rsidRDefault="001255D1">
      <w:pPr>
        <w:pStyle w:val="TOC3"/>
        <w:rPr>
          <w:rFonts w:ascii="Arial" w:eastAsiaTheme="minorEastAsia" w:hAnsi="Arial" w:cs="Arial"/>
          <w:noProof/>
          <w:kern w:val="2"/>
          <w:sz w:val="24"/>
          <w:szCs w:val="24"/>
          <w14:ligatures w14:val="standardContextual"/>
        </w:rPr>
      </w:pPr>
      <w:hyperlink w:anchor="_Toc211640952" w:history="1">
        <w:r w:rsidRPr="001255D1">
          <w:rPr>
            <w:rStyle w:val="Hyperlink"/>
            <w:rFonts w:ascii="Arial" w:hAnsi="Arial" w:cs="Arial"/>
            <w:bCs/>
            <w:noProof/>
            <w:lang w:val="en"/>
          </w:rPr>
          <w:t>XIII. Valuation of Fund Assets</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_Toc211640952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92</w:t>
        </w:r>
        <w:r w:rsidRPr="001255D1">
          <w:rPr>
            <w:rFonts w:ascii="Arial" w:hAnsi="Arial" w:cs="Arial"/>
            <w:noProof/>
            <w:webHidden/>
          </w:rPr>
          <w:fldChar w:fldCharType="end"/>
        </w:r>
      </w:hyperlink>
    </w:p>
    <w:p w14:paraId="01053BFA" w14:textId="3EDA8E2C" w:rsidR="001255D1" w:rsidRPr="001255D1" w:rsidRDefault="001255D1">
      <w:pPr>
        <w:pStyle w:val="TOC3"/>
        <w:rPr>
          <w:rFonts w:ascii="Arial" w:eastAsiaTheme="minorEastAsia" w:hAnsi="Arial" w:cs="Arial"/>
          <w:noProof/>
          <w:kern w:val="2"/>
          <w:sz w:val="24"/>
          <w:szCs w:val="24"/>
          <w14:ligatures w14:val="standardContextual"/>
        </w:rPr>
      </w:pPr>
      <w:hyperlink w:anchor="_Toc211640953" w:history="1">
        <w:r w:rsidRPr="001255D1">
          <w:rPr>
            <w:rStyle w:val="Hyperlink"/>
            <w:rFonts w:ascii="Arial" w:hAnsi="Arial" w:cs="Arial"/>
            <w:bCs/>
            <w:noProof/>
            <w:lang w:val="en"/>
          </w:rPr>
          <w:t>XIV. Fund Income and Distribution</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_Toc211640953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98</w:t>
        </w:r>
        <w:r w:rsidRPr="001255D1">
          <w:rPr>
            <w:rFonts w:ascii="Arial" w:hAnsi="Arial" w:cs="Arial"/>
            <w:noProof/>
            <w:webHidden/>
          </w:rPr>
          <w:fldChar w:fldCharType="end"/>
        </w:r>
      </w:hyperlink>
    </w:p>
    <w:p w14:paraId="40DA9A1F" w14:textId="798C05AB" w:rsidR="001255D1" w:rsidRPr="001255D1" w:rsidRDefault="001255D1">
      <w:pPr>
        <w:pStyle w:val="TOC3"/>
        <w:rPr>
          <w:rFonts w:ascii="Arial" w:eastAsiaTheme="minorEastAsia" w:hAnsi="Arial" w:cs="Arial"/>
          <w:noProof/>
          <w:kern w:val="2"/>
          <w:sz w:val="24"/>
          <w:szCs w:val="24"/>
          <w14:ligatures w14:val="standardContextual"/>
        </w:rPr>
      </w:pPr>
      <w:hyperlink w:anchor="_Toc211640954" w:history="1">
        <w:r w:rsidRPr="001255D1">
          <w:rPr>
            <w:rStyle w:val="Hyperlink"/>
            <w:rFonts w:ascii="Arial" w:hAnsi="Arial" w:cs="Arial"/>
            <w:bCs/>
            <w:noProof/>
            <w:lang w:val="en"/>
          </w:rPr>
          <w:t>XV. Fund Expenses and Taxation</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_Toc211640954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100</w:t>
        </w:r>
        <w:r w:rsidRPr="001255D1">
          <w:rPr>
            <w:rFonts w:ascii="Arial" w:hAnsi="Arial" w:cs="Arial"/>
            <w:noProof/>
            <w:webHidden/>
          </w:rPr>
          <w:fldChar w:fldCharType="end"/>
        </w:r>
      </w:hyperlink>
    </w:p>
    <w:p w14:paraId="1D5768DD" w14:textId="3B1B2A93" w:rsidR="001255D1" w:rsidRPr="001255D1" w:rsidRDefault="001255D1">
      <w:pPr>
        <w:pStyle w:val="TOC3"/>
        <w:rPr>
          <w:rFonts w:ascii="Arial" w:eastAsiaTheme="minorEastAsia" w:hAnsi="Arial" w:cs="Arial"/>
          <w:noProof/>
          <w:kern w:val="2"/>
          <w:sz w:val="24"/>
          <w:szCs w:val="24"/>
          <w14:ligatures w14:val="standardContextual"/>
        </w:rPr>
      </w:pPr>
      <w:hyperlink w:anchor="_Toc211640955" w:history="1">
        <w:r w:rsidRPr="001255D1">
          <w:rPr>
            <w:rStyle w:val="Hyperlink"/>
            <w:rFonts w:ascii="Arial" w:hAnsi="Arial" w:cs="Arial"/>
            <w:bCs/>
            <w:noProof/>
            <w:lang w:val="en"/>
          </w:rPr>
          <w:t>XVI. Fund Accounting and Auditing</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_Toc211640955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102</w:t>
        </w:r>
        <w:r w:rsidRPr="001255D1">
          <w:rPr>
            <w:rFonts w:ascii="Arial" w:hAnsi="Arial" w:cs="Arial"/>
            <w:noProof/>
            <w:webHidden/>
          </w:rPr>
          <w:fldChar w:fldCharType="end"/>
        </w:r>
      </w:hyperlink>
    </w:p>
    <w:p w14:paraId="3D5E9DCF" w14:textId="7166A8B8" w:rsidR="001255D1" w:rsidRPr="001255D1" w:rsidRDefault="001255D1">
      <w:pPr>
        <w:pStyle w:val="TOC3"/>
        <w:rPr>
          <w:rFonts w:ascii="Arial" w:eastAsiaTheme="minorEastAsia" w:hAnsi="Arial" w:cs="Arial"/>
          <w:noProof/>
          <w:kern w:val="2"/>
          <w:sz w:val="24"/>
          <w:szCs w:val="24"/>
          <w14:ligatures w14:val="standardContextual"/>
        </w:rPr>
      </w:pPr>
      <w:hyperlink w:anchor="_Toc211640956" w:history="1">
        <w:r w:rsidRPr="001255D1">
          <w:rPr>
            <w:rStyle w:val="Hyperlink"/>
            <w:rFonts w:ascii="Arial" w:hAnsi="Arial" w:cs="Arial"/>
            <w:bCs/>
            <w:noProof/>
            <w:lang w:val="en"/>
          </w:rPr>
          <w:t>XVII. Fund Information Disclosure</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_Toc211640956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103</w:t>
        </w:r>
        <w:r w:rsidRPr="001255D1">
          <w:rPr>
            <w:rFonts w:ascii="Arial" w:hAnsi="Arial" w:cs="Arial"/>
            <w:noProof/>
            <w:webHidden/>
          </w:rPr>
          <w:fldChar w:fldCharType="end"/>
        </w:r>
      </w:hyperlink>
    </w:p>
    <w:p w14:paraId="71D8D886" w14:textId="2626BC63" w:rsidR="001255D1" w:rsidRPr="001255D1" w:rsidRDefault="001255D1">
      <w:pPr>
        <w:pStyle w:val="TOC3"/>
        <w:rPr>
          <w:rFonts w:ascii="Arial" w:eastAsiaTheme="minorEastAsia" w:hAnsi="Arial" w:cs="Arial"/>
          <w:noProof/>
          <w:kern w:val="2"/>
          <w:sz w:val="24"/>
          <w:szCs w:val="24"/>
          <w14:ligatures w14:val="standardContextual"/>
        </w:rPr>
      </w:pPr>
      <w:hyperlink w:anchor="_Toc211640957" w:history="1">
        <w:r w:rsidRPr="001255D1">
          <w:rPr>
            <w:rStyle w:val="Hyperlink"/>
            <w:rFonts w:ascii="Arial" w:hAnsi="Arial" w:cs="Arial"/>
            <w:bCs/>
            <w:noProof/>
            <w:lang w:val="en"/>
          </w:rPr>
          <w:t>XVIII. Risk Disclosure</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_Toc211640957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110</w:t>
        </w:r>
        <w:r w:rsidRPr="001255D1">
          <w:rPr>
            <w:rFonts w:ascii="Arial" w:hAnsi="Arial" w:cs="Arial"/>
            <w:noProof/>
            <w:webHidden/>
          </w:rPr>
          <w:fldChar w:fldCharType="end"/>
        </w:r>
      </w:hyperlink>
    </w:p>
    <w:p w14:paraId="26F79414" w14:textId="5EE31C9B" w:rsidR="001255D1" w:rsidRPr="001255D1" w:rsidRDefault="001255D1">
      <w:pPr>
        <w:pStyle w:val="TOC3"/>
        <w:rPr>
          <w:rFonts w:ascii="Arial" w:eastAsiaTheme="minorEastAsia" w:hAnsi="Arial" w:cs="Arial"/>
          <w:noProof/>
          <w:kern w:val="2"/>
          <w:sz w:val="24"/>
          <w:szCs w:val="24"/>
          <w14:ligatures w14:val="standardContextual"/>
        </w:rPr>
      </w:pPr>
      <w:hyperlink w:anchor="_Toc211640958" w:history="1">
        <w:r w:rsidRPr="001255D1">
          <w:rPr>
            <w:rStyle w:val="Hyperlink"/>
            <w:rFonts w:ascii="Arial" w:hAnsi="Arial" w:cs="Arial"/>
            <w:bCs/>
            <w:noProof/>
            <w:lang w:val="en"/>
          </w:rPr>
          <w:t>XIX. Amendment, Termination of the Fund Contract, and Liquidation of Fund Property</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_Toc211640958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117</w:t>
        </w:r>
        <w:r w:rsidRPr="001255D1">
          <w:rPr>
            <w:rFonts w:ascii="Arial" w:hAnsi="Arial" w:cs="Arial"/>
            <w:noProof/>
            <w:webHidden/>
          </w:rPr>
          <w:fldChar w:fldCharType="end"/>
        </w:r>
      </w:hyperlink>
    </w:p>
    <w:p w14:paraId="02F87F70" w14:textId="630B9900" w:rsidR="001255D1" w:rsidRPr="001255D1" w:rsidRDefault="001255D1">
      <w:pPr>
        <w:pStyle w:val="TOC3"/>
        <w:rPr>
          <w:rFonts w:ascii="Arial" w:eastAsiaTheme="minorEastAsia" w:hAnsi="Arial" w:cs="Arial"/>
          <w:noProof/>
          <w:kern w:val="2"/>
          <w:sz w:val="24"/>
          <w:szCs w:val="24"/>
          <w14:ligatures w14:val="standardContextual"/>
        </w:rPr>
      </w:pPr>
      <w:hyperlink w:anchor="_Toc211640959" w:history="1">
        <w:r w:rsidRPr="001255D1">
          <w:rPr>
            <w:rStyle w:val="Hyperlink"/>
            <w:rFonts w:ascii="Arial" w:hAnsi="Arial" w:cs="Arial"/>
            <w:bCs/>
            <w:noProof/>
            <w:lang w:val="en"/>
          </w:rPr>
          <w:t>XX. Excerpts from the Fund Contract</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_Toc211640959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119</w:t>
        </w:r>
        <w:r w:rsidRPr="001255D1">
          <w:rPr>
            <w:rFonts w:ascii="Arial" w:hAnsi="Arial" w:cs="Arial"/>
            <w:noProof/>
            <w:webHidden/>
          </w:rPr>
          <w:fldChar w:fldCharType="end"/>
        </w:r>
      </w:hyperlink>
    </w:p>
    <w:p w14:paraId="123D99B2" w14:textId="53C48CC4" w:rsidR="001255D1" w:rsidRPr="001255D1" w:rsidRDefault="001255D1">
      <w:pPr>
        <w:pStyle w:val="TOC3"/>
        <w:rPr>
          <w:rFonts w:ascii="Arial" w:eastAsiaTheme="minorEastAsia" w:hAnsi="Arial" w:cs="Arial"/>
          <w:noProof/>
          <w:kern w:val="2"/>
          <w:sz w:val="24"/>
          <w:szCs w:val="24"/>
          <w14:ligatures w14:val="standardContextual"/>
        </w:rPr>
      </w:pPr>
      <w:hyperlink w:anchor="_Toc211640960" w:history="1">
        <w:r w:rsidRPr="001255D1">
          <w:rPr>
            <w:rStyle w:val="Hyperlink"/>
            <w:rFonts w:ascii="Arial" w:hAnsi="Arial" w:cs="Arial"/>
            <w:bCs/>
            <w:noProof/>
            <w:lang w:val="en"/>
          </w:rPr>
          <w:t>XXI. Excerpts from the Fund’s Custody Agreement</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_Toc211640960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138</w:t>
        </w:r>
        <w:r w:rsidRPr="001255D1">
          <w:rPr>
            <w:rFonts w:ascii="Arial" w:hAnsi="Arial" w:cs="Arial"/>
            <w:noProof/>
            <w:webHidden/>
          </w:rPr>
          <w:fldChar w:fldCharType="end"/>
        </w:r>
      </w:hyperlink>
    </w:p>
    <w:p w14:paraId="603E095F" w14:textId="13AB6B9C" w:rsidR="001255D1" w:rsidRPr="001255D1" w:rsidRDefault="001255D1">
      <w:pPr>
        <w:pStyle w:val="TOC3"/>
        <w:rPr>
          <w:rFonts w:ascii="Arial" w:eastAsiaTheme="minorEastAsia" w:hAnsi="Arial" w:cs="Arial"/>
          <w:noProof/>
          <w:kern w:val="2"/>
          <w:sz w:val="24"/>
          <w:szCs w:val="24"/>
          <w14:ligatures w14:val="standardContextual"/>
        </w:rPr>
      </w:pPr>
      <w:hyperlink w:anchor="_Toc211640961" w:history="1">
        <w:r w:rsidRPr="001255D1">
          <w:rPr>
            <w:rStyle w:val="Hyperlink"/>
            <w:rFonts w:ascii="Arial" w:hAnsi="Arial" w:cs="Arial"/>
            <w:bCs/>
            <w:noProof/>
            <w:lang w:val="en"/>
          </w:rPr>
          <w:t>XXII. Services for Fund Unitholders</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_Toc211640961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155</w:t>
        </w:r>
        <w:r w:rsidRPr="001255D1">
          <w:rPr>
            <w:rFonts w:ascii="Arial" w:hAnsi="Arial" w:cs="Arial"/>
            <w:noProof/>
            <w:webHidden/>
          </w:rPr>
          <w:fldChar w:fldCharType="end"/>
        </w:r>
      </w:hyperlink>
    </w:p>
    <w:p w14:paraId="46FA6BD6" w14:textId="2787E14C" w:rsidR="001255D1" w:rsidRPr="001255D1" w:rsidRDefault="001255D1">
      <w:pPr>
        <w:pStyle w:val="TOC3"/>
        <w:rPr>
          <w:rFonts w:ascii="Arial" w:eastAsiaTheme="minorEastAsia" w:hAnsi="Arial" w:cs="Arial"/>
          <w:noProof/>
          <w:kern w:val="2"/>
          <w:sz w:val="24"/>
          <w:szCs w:val="24"/>
          <w14:ligatures w14:val="standardContextual"/>
        </w:rPr>
      </w:pPr>
      <w:hyperlink w:anchor="_Toc211640962" w:history="1">
        <w:r w:rsidRPr="001255D1">
          <w:rPr>
            <w:rStyle w:val="Hyperlink"/>
            <w:rFonts w:ascii="Arial" w:hAnsi="Arial" w:cs="Arial"/>
            <w:bCs/>
            <w:noProof/>
            <w:lang w:val="en"/>
          </w:rPr>
          <w:t>XXIII. Other Disclosable Matters</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_Toc211640962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156</w:t>
        </w:r>
        <w:r w:rsidRPr="001255D1">
          <w:rPr>
            <w:rFonts w:ascii="Arial" w:hAnsi="Arial" w:cs="Arial"/>
            <w:noProof/>
            <w:webHidden/>
          </w:rPr>
          <w:fldChar w:fldCharType="end"/>
        </w:r>
      </w:hyperlink>
    </w:p>
    <w:p w14:paraId="1007C0EB" w14:textId="421AE9BD" w:rsidR="001255D1" w:rsidRPr="001255D1" w:rsidRDefault="001255D1">
      <w:pPr>
        <w:pStyle w:val="TOC3"/>
        <w:rPr>
          <w:rFonts w:ascii="Arial" w:eastAsiaTheme="minorEastAsia" w:hAnsi="Arial" w:cs="Arial"/>
          <w:noProof/>
          <w:kern w:val="2"/>
          <w:sz w:val="24"/>
          <w:szCs w:val="24"/>
          <w14:ligatures w14:val="standardContextual"/>
        </w:rPr>
      </w:pPr>
      <w:hyperlink w:anchor="_Toc211640963" w:history="1">
        <w:r w:rsidRPr="001255D1">
          <w:rPr>
            <w:rStyle w:val="Hyperlink"/>
            <w:rFonts w:ascii="Arial" w:hAnsi="Arial" w:cs="Arial"/>
            <w:bCs/>
            <w:noProof/>
            <w:lang w:val="en"/>
          </w:rPr>
          <w:t>XXIV. Availability and Access to the Prospectus</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_Toc211640963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158</w:t>
        </w:r>
        <w:r w:rsidRPr="001255D1">
          <w:rPr>
            <w:rFonts w:ascii="Arial" w:hAnsi="Arial" w:cs="Arial"/>
            <w:noProof/>
            <w:webHidden/>
          </w:rPr>
          <w:fldChar w:fldCharType="end"/>
        </w:r>
      </w:hyperlink>
    </w:p>
    <w:p w14:paraId="1480B87D" w14:textId="326C858B" w:rsidR="001255D1" w:rsidRPr="001255D1" w:rsidRDefault="001255D1">
      <w:pPr>
        <w:pStyle w:val="TOC3"/>
        <w:rPr>
          <w:rFonts w:ascii="Arial" w:eastAsiaTheme="minorEastAsia" w:hAnsi="Arial" w:cs="Arial"/>
          <w:noProof/>
          <w:kern w:val="2"/>
          <w:sz w:val="24"/>
          <w:szCs w:val="24"/>
          <w14:ligatures w14:val="standardContextual"/>
        </w:rPr>
      </w:pPr>
      <w:hyperlink w:anchor="_Toc211640964" w:history="1">
        <w:r w:rsidRPr="001255D1">
          <w:rPr>
            <w:rStyle w:val="Hyperlink"/>
            <w:rFonts w:ascii="Arial" w:hAnsi="Arial" w:cs="Arial"/>
            <w:bCs/>
            <w:noProof/>
            <w:lang w:val="en"/>
          </w:rPr>
          <w:t>XXV. Documents Available for Inspection</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_Toc211640964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158</w:t>
        </w:r>
        <w:r w:rsidRPr="001255D1">
          <w:rPr>
            <w:rFonts w:ascii="Arial" w:hAnsi="Arial" w:cs="Arial"/>
            <w:noProof/>
            <w:webHidden/>
          </w:rPr>
          <w:fldChar w:fldCharType="end"/>
        </w:r>
      </w:hyperlink>
    </w:p>
    <w:p w14:paraId="293240F8" w14:textId="648CCF10" w:rsidR="001255D1" w:rsidRPr="001255D1" w:rsidRDefault="001255D1">
      <w:pPr>
        <w:pStyle w:val="TOC3"/>
        <w:rPr>
          <w:rFonts w:ascii="Arial" w:eastAsiaTheme="minorEastAsia" w:hAnsi="Arial" w:cs="Arial"/>
          <w:noProof/>
          <w:kern w:val="2"/>
          <w:sz w:val="24"/>
          <w:szCs w:val="24"/>
          <w14:ligatures w14:val="standardContextual"/>
        </w:rPr>
      </w:pPr>
      <w:hyperlink w:anchor="_Toc211640965" w:history="1">
        <w:r w:rsidRPr="001255D1">
          <w:rPr>
            <w:rStyle w:val="Hyperlink"/>
            <w:rFonts w:ascii="Arial" w:hAnsi="Arial" w:cs="Arial"/>
            <w:bCs/>
            <w:noProof/>
            <w:lang w:val="en"/>
          </w:rPr>
          <w:t>Appendix I: Index Methodology</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_Toc211640965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159</w:t>
        </w:r>
        <w:r w:rsidRPr="001255D1">
          <w:rPr>
            <w:rFonts w:ascii="Arial" w:hAnsi="Arial" w:cs="Arial"/>
            <w:noProof/>
            <w:webHidden/>
          </w:rPr>
          <w:fldChar w:fldCharType="end"/>
        </w:r>
      </w:hyperlink>
    </w:p>
    <w:p w14:paraId="07F32E5B" w14:textId="0CAA53FD" w:rsidR="001255D1" w:rsidRPr="001255D1" w:rsidRDefault="001255D1">
      <w:pPr>
        <w:pStyle w:val="TOC2"/>
        <w:tabs>
          <w:tab w:val="left" w:pos="720"/>
          <w:tab w:val="right" w:leader="dot" w:pos="8296"/>
        </w:tabs>
        <w:rPr>
          <w:rFonts w:ascii="Arial" w:eastAsiaTheme="minorEastAsia" w:hAnsi="Arial" w:cs="Arial"/>
          <w:noProof/>
          <w:kern w:val="2"/>
          <w:sz w:val="24"/>
          <w:szCs w:val="24"/>
          <w14:ligatures w14:val="standardContextual"/>
        </w:rPr>
      </w:pPr>
      <w:hyperlink w:anchor="_Toc211640966" w:history="1">
        <w:r w:rsidRPr="001255D1">
          <w:rPr>
            <w:rStyle w:val="Hyperlink"/>
            <w:rFonts w:ascii="Arial" w:hAnsi="Arial" w:cs="Arial"/>
            <w:noProof/>
          </w:rPr>
          <w:t>1.</w:t>
        </w:r>
        <w:r w:rsidRPr="001255D1">
          <w:rPr>
            <w:rFonts w:ascii="Arial" w:eastAsiaTheme="minorEastAsia" w:hAnsi="Arial" w:cs="Arial"/>
            <w:noProof/>
            <w:kern w:val="2"/>
            <w:sz w:val="24"/>
            <w:szCs w:val="24"/>
            <w14:ligatures w14:val="standardContextual"/>
          </w:rPr>
          <w:tab/>
        </w:r>
        <w:r w:rsidRPr="001255D1">
          <w:rPr>
            <w:rStyle w:val="Hyperlink"/>
            <w:rFonts w:ascii="Arial" w:hAnsi="Arial" w:cs="Arial"/>
            <w:noProof/>
            <w:lang w:val="en"/>
          </w:rPr>
          <w:t>Introduction</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_Toc211640966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159</w:t>
        </w:r>
        <w:r w:rsidRPr="001255D1">
          <w:rPr>
            <w:rFonts w:ascii="Arial" w:hAnsi="Arial" w:cs="Arial"/>
            <w:noProof/>
            <w:webHidden/>
          </w:rPr>
          <w:fldChar w:fldCharType="end"/>
        </w:r>
      </w:hyperlink>
    </w:p>
    <w:p w14:paraId="17461EBF" w14:textId="1E2DB75F" w:rsidR="001255D1" w:rsidRPr="001255D1" w:rsidRDefault="001255D1">
      <w:pPr>
        <w:pStyle w:val="TOC2"/>
        <w:tabs>
          <w:tab w:val="left" w:pos="720"/>
          <w:tab w:val="right" w:leader="dot" w:pos="8296"/>
        </w:tabs>
        <w:rPr>
          <w:rFonts w:ascii="Arial" w:eastAsiaTheme="minorEastAsia" w:hAnsi="Arial" w:cs="Arial"/>
          <w:noProof/>
          <w:kern w:val="2"/>
          <w:sz w:val="24"/>
          <w:szCs w:val="24"/>
          <w14:ligatures w14:val="standardContextual"/>
        </w:rPr>
      </w:pPr>
      <w:hyperlink w:anchor="_Toc211640967" w:history="1">
        <w:r w:rsidRPr="001255D1">
          <w:rPr>
            <w:rStyle w:val="Hyperlink"/>
            <w:rFonts w:ascii="Arial" w:hAnsi="Arial" w:cs="Arial"/>
            <w:noProof/>
          </w:rPr>
          <w:t>2.</w:t>
        </w:r>
        <w:r w:rsidRPr="001255D1">
          <w:rPr>
            <w:rFonts w:ascii="Arial" w:eastAsiaTheme="minorEastAsia" w:hAnsi="Arial" w:cs="Arial"/>
            <w:noProof/>
            <w:kern w:val="2"/>
            <w:sz w:val="24"/>
            <w:szCs w:val="24"/>
            <w14:ligatures w14:val="standardContextual"/>
          </w:rPr>
          <w:tab/>
        </w:r>
        <w:r w:rsidRPr="001255D1">
          <w:rPr>
            <w:rStyle w:val="Hyperlink"/>
            <w:rFonts w:ascii="Arial" w:hAnsi="Arial" w:cs="Arial"/>
            <w:noProof/>
            <w:lang w:val="en"/>
          </w:rPr>
          <w:t>Eligible Universe</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_Toc211640967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159</w:t>
        </w:r>
        <w:r w:rsidRPr="001255D1">
          <w:rPr>
            <w:rFonts w:ascii="Arial" w:hAnsi="Arial" w:cs="Arial"/>
            <w:noProof/>
            <w:webHidden/>
          </w:rPr>
          <w:fldChar w:fldCharType="end"/>
        </w:r>
      </w:hyperlink>
    </w:p>
    <w:p w14:paraId="78163603" w14:textId="7104A018" w:rsidR="001255D1" w:rsidRPr="001255D1" w:rsidRDefault="001255D1">
      <w:pPr>
        <w:pStyle w:val="TOC2"/>
        <w:tabs>
          <w:tab w:val="left" w:pos="720"/>
          <w:tab w:val="right" w:leader="dot" w:pos="8296"/>
        </w:tabs>
        <w:rPr>
          <w:rFonts w:ascii="Arial" w:eastAsiaTheme="minorEastAsia" w:hAnsi="Arial" w:cs="Arial"/>
          <w:noProof/>
          <w:kern w:val="2"/>
          <w:sz w:val="24"/>
          <w:szCs w:val="24"/>
          <w14:ligatures w14:val="standardContextual"/>
        </w:rPr>
      </w:pPr>
      <w:hyperlink w:anchor="_Toc211640968" w:history="1">
        <w:r w:rsidRPr="001255D1">
          <w:rPr>
            <w:rStyle w:val="Hyperlink"/>
            <w:rFonts w:ascii="Arial" w:hAnsi="Arial" w:cs="Arial"/>
            <w:noProof/>
          </w:rPr>
          <w:t>3.</w:t>
        </w:r>
        <w:r w:rsidRPr="001255D1">
          <w:rPr>
            <w:rFonts w:ascii="Arial" w:eastAsiaTheme="minorEastAsia" w:hAnsi="Arial" w:cs="Arial"/>
            <w:noProof/>
            <w:kern w:val="2"/>
            <w:sz w:val="24"/>
            <w:szCs w:val="24"/>
            <w14:ligatures w14:val="standardContextual"/>
          </w:rPr>
          <w:tab/>
        </w:r>
        <w:r w:rsidRPr="001255D1">
          <w:rPr>
            <w:rStyle w:val="Hyperlink"/>
            <w:rFonts w:ascii="Arial" w:hAnsi="Arial" w:cs="Arial"/>
            <w:noProof/>
            <w:lang w:val="en"/>
          </w:rPr>
          <w:t>Selection Method</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_Toc211640968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159</w:t>
        </w:r>
        <w:r w:rsidRPr="001255D1">
          <w:rPr>
            <w:rFonts w:ascii="Arial" w:hAnsi="Arial" w:cs="Arial"/>
            <w:noProof/>
            <w:webHidden/>
          </w:rPr>
          <w:fldChar w:fldCharType="end"/>
        </w:r>
      </w:hyperlink>
    </w:p>
    <w:p w14:paraId="07230CE0" w14:textId="6AA368D8" w:rsidR="001255D1" w:rsidRPr="001255D1" w:rsidRDefault="001255D1">
      <w:pPr>
        <w:pStyle w:val="TOC2"/>
        <w:tabs>
          <w:tab w:val="left" w:pos="720"/>
          <w:tab w:val="right" w:leader="dot" w:pos="8296"/>
        </w:tabs>
        <w:rPr>
          <w:rFonts w:ascii="Arial" w:eastAsiaTheme="minorEastAsia" w:hAnsi="Arial" w:cs="Arial"/>
          <w:noProof/>
          <w:kern w:val="2"/>
          <w:sz w:val="24"/>
          <w:szCs w:val="24"/>
          <w14:ligatures w14:val="standardContextual"/>
        </w:rPr>
      </w:pPr>
      <w:hyperlink w:anchor="_Toc211640969" w:history="1">
        <w:r w:rsidRPr="001255D1">
          <w:rPr>
            <w:rStyle w:val="Hyperlink"/>
            <w:rFonts w:ascii="Arial" w:hAnsi="Arial" w:cs="Arial"/>
            <w:noProof/>
          </w:rPr>
          <w:t>4.</w:t>
        </w:r>
        <w:r w:rsidRPr="001255D1">
          <w:rPr>
            <w:rFonts w:ascii="Arial" w:eastAsiaTheme="minorEastAsia" w:hAnsi="Arial" w:cs="Arial"/>
            <w:noProof/>
            <w:kern w:val="2"/>
            <w:sz w:val="24"/>
            <w:szCs w:val="24"/>
            <w14:ligatures w14:val="standardContextual"/>
          </w:rPr>
          <w:tab/>
        </w:r>
        <w:r w:rsidRPr="001255D1">
          <w:rPr>
            <w:rStyle w:val="Hyperlink"/>
            <w:rFonts w:ascii="Arial" w:hAnsi="Arial" w:cs="Arial"/>
            <w:noProof/>
            <w:lang w:val="en"/>
          </w:rPr>
          <w:t>Index Calculation</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_Toc211640969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159</w:t>
        </w:r>
        <w:r w:rsidRPr="001255D1">
          <w:rPr>
            <w:rFonts w:ascii="Arial" w:hAnsi="Arial" w:cs="Arial"/>
            <w:noProof/>
            <w:webHidden/>
          </w:rPr>
          <w:fldChar w:fldCharType="end"/>
        </w:r>
      </w:hyperlink>
    </w:p>
    <w:p w14:paraId="66B1A38C" w14:textId="2C00CDCA" w:rsidR="001255D1" w:rsidRPr="001255D1" w:rsidRDefault="001255D1">
      <w:pPr>
        <w:pStyle w:val="TOC2"/>
        <w:tabs>
          <w:tab w:val="left" w:pos="720"/>
          <w:tab w:val="right" w:leader="dot" w:pos="8296"/>
        </w:tabs>
        <w:rPr>
          <w:rFonts w:ascii="Arial" w:eastAsiaTheme="minorEastAsia" w:hAnsi="Arial" w:cs="Arial"/>
          <w:noProof/>
          <w:kern w:val="2"/>
          <w:sz w:val="24"/>
          <w:szCs w:val="24"/>
          <w14:ligatures w14:val="standardContextual"/>
        </w:rPr>
      </w:pPr>
      <w:hyperlink w:anchor="_Toc211640970" w:history="1">
        <w:r w:rsidRPr="001255D1">
          <w:rPr>
            <w:rStyle w:val="Hyperlink"/>
            <w:rFonts w:ascii="Arial" w:hAnsi="Arial" w:cs="Arial"/>
            <w:noProof/>
          </w:rPr>
          <w:t>5.</w:t>
        </w:r>
        <w:r w:rsidRPr="001255D1">
          <w:rPr>
            <w:rFonts w:ascii="Arial" w:eastAsiaTheme="minorEastAsia" w:hAnsi="Arial" w:cs="Arial"/>
            <w:noProof/>
            <w:kern w:val="2"/>
            <w:sz w:val="24"/>
            <w:szCs w:val="24"/>
            <w14:ligatures w14:val="standardContextual"/>
          </w:rPr>
          <w:tab/>
        </w:r>
        <w:r w:rsidRPr="001255D1">
          <w:rPr>
            <w:rStyle w:val="Hyperlink"/>
            <w:rFonts w:ascii="Arial" w:hAnsi="Arial" w:cs="Arial"/>
            <w:noProof/>
            <w:lang w:val="en"/>
          </w:rPr>
          <w:t>Index Adjustments</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_Toc211640970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163</w:t>
        </w:r>
        <w:r w:rsidRPr="001255D1">
          <w:rPr>
            <w:rFonts w:ascii="Arial" w:hAnsi="Arial" w:cs="Arial"/>
            <w:noProof/>
            <w:webHidden/>
          </w:rPr>
          <w:fldChar w:fldCharType="end"/>
        </w:r>
      </w:hyperlink>
    </w:p>
    <w:p w14:paraId="47DC1836" w14:textId="7373E0FE" w:rsidR="001255D1" w:rsidRPr="001255D1" w:rsidRDefault="001255D1">
      <w:pPr>
        <w:pStyle w:val="TOC2"/>
        <w:tabs>
          <w:tab w:val="left" w:pos="720"/>
          <w:tab w:val="right" w:leader="dot" w:pos="8296"/>
        </w:tabs>
        <w:rPr>
          <w:rFonts w:ascii="Arial" w:eastAsiaTheme="minorEastAsia" w:hAnsi="Arial" w:cs="Arial"/>
          <w:noProof/>
          <w:kern w:val="2"/>
          <w:sz w:val="24"/>
          <w:szCs w:val="24"/>
          <w14:ligatures w14:val="standardContextual"/>
        </w:rPr>
      </w:pPr>
      <w:hyperlink w:anchor="_Toc211640971" w:history="1">
        <w:r w:rsidRPr="001255D1">
          <w:rPr>
            <w:rStyle w:val="Hyperlink"/>
            <w:rFonts w:ascii="Arial" w:hAnsi="Arial" w:cs="Arial"/>
            <w:noProof/>
          </w:rPr>
          <w:t>6.</w:t>
        </w:r>
        <w:r w:rsidRPr="001255D1">
          <w:rPr>
            <w:rFonts w:ascii="Arial" w:eastAsiaTheme="minorEastAsia" w:hAnsi="Arial" w:cs="Arial"/>
            <w:noProof/>
            <w:kern w:val="2"/>
            <w:sz w:val="24"/>
            <w:szCs w:val="24"/>
            <w14:ligatures w14:val="standardContextual"/>
          </w:rPr>
          <w:tab/>
        </w:r>
        <w:r w:rsidRPr="001255D1">
          <w:rPr>
            <w:rStyle w:val="Hyperlink"/>
            <w:rFonts w:ascii="Arial" w:hAnsi="Arial" w:cs="Arial"/>
            <w:noProof/>
            <w:lang w:val="en"/>
          </w:rPr>
          <w:t>Periodic Review</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_Toc211640971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164</w:t>
        </w:r>
        <w:r w:rsidRPr="001255D1">
          <w:rPr>
            <w:rFonts w:ascii="Arial" w:hAnsi="Arial" w:cs="Arial"/>
            <w:noProof/>
            <w:webHidden/>
          </w:rPr>
          <w:fldChar w:fldCharType="end"/>
        </w:r>
      </w:hyperlink>
    </w:p>
    <w:p w14:paraId="6199AE1A" w14:textId="63AEA6C2" w:rsidR="001255D1" w:rsidRPr="001255D1" w:rsidRDefault="001255D1">
      <w:pPr>
        <w:pStyle w:val="TOC2"/>
        <w:tabs>
          <w:tab w:val="left" w:pos="720"/>
          <w:tab w:val="right" w:leader="dot" w:pos="8296"/>
        </w:tabs>
        <w:rPr>
          <w:rFonts w:ascii="Arial" w:eastAsiaTheme="minorEastAsia" w:hAnsi="Arial" w:cs="Arial"/>
          <w:noProof/>
          <w:kern w:val="2"/>
          <w:sz w:val="24"/>
          <w:szCs w:val="24"/>
          <w14:ligatures w14:val="standardContextual"/>
        </w:rPr>
      </w:pPr>
      <w:hyperlink w:anchor="_Toc211640972" w:history="1">
        <w:r w:rsidRPr="001255D1">
          <w:rPr>
            <w:rStyle w:val="Hyperlink"/>
            <w:rFonts w:ascii="Arial" w:hAnsi="Arial" w:cs="Arial"/>
            <w:noProof/>
          </w:rPr>
          <w:t>7.</w:t>
        </w:r>
        <w:r w:rsidRPr="001255D1">
          <w:rPr>
            <w:rFonts w:ascii="Arial" w:eastAsiaTheme="minorEastAsia" w:hAnsi="Arial" w:cs="Arial"/>
            <w:noProof/>
            <w:kern w:val="2"/>
            <w:sz w:val="24"/>
            <w:szCs w:val="24"/>
            <w14:ligatures w14:val="standardContextual"/>
          </w:rPr>
          <w:tab/>
        </w:r>
        <w:r w:rsidRPr="001255D1">
          <w:rPr>
            <w:rStyle w:val="Hyperlink"/>
            <w:rFonts w:ascii="Arial" w:hAnsi="Arial" w:cs="Arial"/>
            <w:noProof/>
            <w:lang w:val="en"/>
          </w:rPr>
          <w:t>Interim Adjustments</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_Toc211640972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166</w:t>
        </w:r>
        <w:r w:rsidRPr="001255D1">
          <w:rPr>
            <w:rFonts w:ascii="Arial" w:hAnsi="Arial" w:cs="Arial"/>
            <w:noProof/>
            <w:webHidden/>
          </w:rPr>
          <w:fldChar w:fldCharType="end"/>
        </w:r>
      </w:hyperlink>
    </w:p>
    <w:p w14:paraId="5FB8F728" w14:textId="42C7930D" w:rsidR="001255D1" w:rsidRPr="001255D1" w:rsidRDefault="001255D1">
      <w:pPr>
        <w:pStyle w:val="TOC2"/>
        <w:tabs>
          <w:tab w:val="left" w:pos="720"/>
          <w:tab w:val="right" w:leader="dot" w:pos="8296"/>
        </w:tabs>
        <w:rPr>
          <w:rFonts w:ascii="Arial" w:eastAsiaTheme="minorEastAsia" w:hAnsi="Arial" w:cs="Arial"/>
          <w:noProof/>
          <w:kern w:val="2"/>
          <w:sz w:val="24"/>
          <w:szCs w:val="24"/>
          <w14:ligatures w14:val="standardContextual"/>
        </w:rPr>
      </w:pPr>
      <w:hyperlink w:anchor="_Toc211640973" w:history="1">
        <w:r w:rsidRPr="001255D1">
          <w:rPr>
            <w:rStyle w:val="Hyperlink"/>
            <w:rFonts w:ascii="Arial" w:hAnsi="Arial" w:cs="Arial"/>
            <w:noProof/>
          </w:rPr>
          <w:t>8.</w:t>
        </w:r>
        <w:r w:rsidRPr="001255D1">
          <w:rPr>
            <w:rFonts w:ascii="Arial" w:eastAsiaTheme="minorEastAsia" w:hAnsi="Arial" w:cs="Arial"/>
            <w:noProof/>
            <w:kern w:val="2"/>
            <w:sz w:val="24"/>
            <w:szCs w:val="24"/>
            <w14:ligatures w14:val="standardContextual"/>
          </w:rPr>
          <w:tab/>
        </w:r>
        <w:r w:rsidRPr="001255D1">
          <w:rPr>
            <w:rStyle w:val="Hyperlink"/>
            <w:rFonts w:ascii="Arial" w:hAnsi="Arial" w:cs="Arial"/>
            <w:noProof/>
            <w:lang w:val="en"/>
          </w:rPr>
          <w:t>Reserve List</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_Toc211640973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168</w:t>
        </w:r>
        <w:r w:rsidRPr="001255D1">
          <w:rPr>
            <w:rFonts w:ascii="Arial" w:hAnsi="Arial" w:cs="Arial"/>
            <w:noProof/>
            <w:webHidden/>
          </w:rPr>
          <w:fldChar w:fldCharType="end"/>
        </w:r>
      </w:hyperlink>
    </w:p>
    <w:p w14:paraId="55EE9FF5" w14:textId="16F5369D" w:rsidR="001255D1" w:rsidRPr="001255D1" w:rsidRDefault="001255D1">
      <w:pPr>
        <w:pStyle w:val="TOC2"/>
        <w:tabs>
          <w:tab w:val="left" w:pos="720"/>
          <w:tab w:val="right" w:leader="dot" w:pos="8296"/>
        </w:tabs>
        <w:rPr>
          <w:rFonts w:ascii="Arial" w:eastAsiaTheme="minorEastAsia" w:hAnsi="Arial" w:cs="Arial"/>
          <w:noProof/>
          <w:kern w:val="2"/>
          <w:sz w:val="24"/>
          <w:szCs w:val="24"/>
          <w14:ligatures w14:val="standardContextual"/>
        </w:rPr>
      </w:pPr>
      <w:hyperlink w:anchor="_Toc211640974" w:history="1">
        <w:r w:rsidRPr="001255D1">
          <w:rPr>
            <w:rStyle w:val="Hyperlink"/>
            <w:rFonts w:ascii="Arial" w:hAnsi="Arial" w:cs="Arial"/>
            <w:noProof/>
          </w:rPr>
          <w:t>9.</w:t>
        </w:r>
        <w:r w:rsidRPr="001255D1">
          <w:rPr>
            <w:rFonts w:ascii="Arial" w:eastAsiaTheme="minorEastAsia" w:hAnsi="Arial" w:cs="Arial"/>
            <w:noProof/>
            <w:kern w:val="2"/>
            <w:sz w:val="24"/>
            <w:szCs w:val="24"/>
            <w14:ligatures w14:val="standardContextual"/>
          </w:rPr>
          <w:tab/>
        </w:r>
        <w:r w:rsidRPr="001255D1">
          <w:rPr>
            <w:rStyle w:val="Hyperlink"/>
            <w:rFonts w:ascii="Arial" w:hAnsi="Arial" w:cs="Arial"/>
            <w:noProof/>
            <w:lang w:val="en"/>
          </w:rPr>
          <w:t>Daily Maintenance</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_Toc211640974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168</w:t>
        </w:r>
        <w:r w:rsidRPr="001255D1">
          <w:rPr>
            <w:rFonts w:ascii="Arial" w:hAnsi="Arial" w:cs="Arial"/>
            <w:noProof/>
            <w:webHidden/>
          </w:rPr>
          <w:fldChar w:fldCharType="end"/>
        </w:r>
      </w:hyperlink>
    </w:p>
    <w:p w14:paraId="3E7B5F75" w14:textId="33A0D05D" w:rsidR="001255D1" w:rsidRPr="001255D1" w:rsidRDefault="001255D1">
      <w:pPr>
        <w:pStyle w:val="TOC2"/>
        <w:tabs>
          <w:tab w:val="left" w:pos="720"/>
          <w:tab w:val="right" w:leader="dot" w:pos="8296"/>
        </w:tabs>
        <w:rPr>
          <w:rFonts w:ascii="Arial" w:eastAsiaTheme="minorEastAsia" w:hAnsi="Arial" w:cs="Arial"/>
          <w:noProof/>
          <w:kern w:val="2"/>
          <w:sz w:val="24"/>
          <w:szCs w:val="24"/>
          <w14:ligatures w14:val="standardContextual"/>
        </w:rPr>
      </w:pPr>
      <w:hyperlink w:anchor="_Toc211640975" w:history="1">
        <w:r w:rsidRPr="001255D1">
          <w:rPr>
            <w:rStyle w:val="Hyperlink"/>
            <w:rFonts w:ascii="Arial" w:hAnsi="Arial" w:cs="Arial"/>
            <w:noProof/>
          </w:rPr>
          <w:t>10.</w:t>
        </w:r>
        <w:r w:rsidRPr="001255D1">
          <w:rPr>
            <w:rFonts w:ascii="Arial" w:eastAsiaTheme="minorEastAsia" w:hAnsi="Arial" w:cs="Arial"/>
            <w:noProof/>
            <w:kern w:val="2"/>
            <w:sz w:val="24"/>
            <w:szCs w:val="24"/>
            <w14:ligatures w14:val="standardContextual"/>
          </w:rPr>
          <w:tab/>
        </w:r>
        <w:r w:rsidRPr="001255D1">
          <w:rPr>
            <w:rStyle w:val="Hyperlink"/>
            <w:rFonts w:ascii="Arial" w:hAnsi="Arial" w:cs="Arial"/>
            <w:noProof/>
            <w:lang w:val="en"/>
          </w:rPr>
          <w:t>Rule Amendments</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_Toc211640975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169</w:t>
        </w:r>
        <w:r w:rsidRPr="001255D1">
          <w:rPr>
            <w:rFonts w:ascii="Arial" w:hAnsi="Arial" w:cs="Arial"/>
            <w:noProof/>
            <w:webHidden/>
          </w:rPr>
          <w:fldChar w:fldCharType="end"/>
        </w:r>
      </w:hyperlink>
    </w:p>
    <w:p w14:paraId="1E09E319" w14:textId="5E7DF855" w:rsidR="001255D1" w:rsidRPr="001255D1" w:rsidRDefault="001255D1">
      <w:pPr>
        <w:pStyle w:val="TOC2"/>
        <w:tabs>
          <w:tab w:val="left" w:pos="720"/>
          <w:tab w:val="right" w:leader="dot" w:pos="8296"/>
        </w:tabs>
        <w:rPr>
          <w:rFonts w:ascii="Arial" w:eastAsiaTheme="minorEastAsia" w:hAnsi="Arial" w:cs="Arial"/>
          <w:noProof/>
          <w:kern w:val="2"/>
          <w:sz w:val="24"/>
          <w:szCs w:val="24"/>
          <w14:ligatures w14:val="standardContextual"/>
        </w:rPr>
      </w:pPr>
      <w:hyperlink w:anchor="_Toc211640976" w:history="1">
        <w:r w:rsidRPr="001255D1">
          <w:rPr>
            <w:rStyle w:val="Hyperlink"/>
            <w:rFonts w:ascii="Arial" w:hAnsi="Arial" w:cs="Arial"/>
            <w:noProof/>
          </w:rPr>
          <w:t>11.</w:t>
        </w:r>
        <w:r w:rsidRPr="001255D1">
          <w:rPr>
            <w:rFonts w:ascii="Arial" w:eastAsiaTheme="minorEastAsia" w:hAnsi="Arial" w:cs="Arial"/>
            <w:noProof/>
            <w:kern w:val="2"/>
            <w:sz w:val="24"/>
            <w:szCs w:val="24"/>
            <w14:ligatures w14:val="standardContextual"/>
          </w:rPr>
          <w:tab/>
        </w:r>
        <w:r w:rsidRPr="001255D1">
          <w:rPr>
            <w:rStyle w:val="Hyperlink"/>
            <w:rFonts w:ascii="Arial" w:hAnsi="Arial" w:cs="Arial"/>
            <w:noProof/>
            <w:lang w:val="en"/>
          </w:rPr>
          <w:t>Information Disclosure</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_Toc211640976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169</w:t>
        </w:r>
        <w:r w:rsidRPr="001255D1">
          <w:rPr>
            <w:rFonts w:ascii="Arial" w:hAnsi="Arial" w:cs="Arial"/>
            <w:noProof/>
            <w:webHidden/>
          </w:rPr>
          <w:fldChar w:fldCharType="end"/>
        </w:r>
      </w:hyperlink>
    </w:p>
    <w:p w14:paraId="7C59F684" w14:textId="7BD0F6D1" w:rsidR="001255D1" w:rsidRPr="001255D1" w:rsidRDefault="001255D1">
      <w:pPr>
        <w:pStyle w:val="TOC2"/>
        <w:tabs>
          <w:tab w:val="left" w:pos="720"/>
          <w:tab w:val="right" w:leader="dot" w:pos="8296"/>
        </w:tabs>
        <w:rPr>
          <w:rFonts w:ascii="Arial" w:eastAsiaTheme="minorEastAsia" w:hAnsi="Arial" w:cs="Arial"/>
          <w:noProof/>
          <w:kern w:val="2"/>
          <w:sz w:val="24"/>
          <w:szCs w:val="24"/>
          <w14:ligatures w14:val="standardContextual"/>
        </w:rPr>
      </w:pPr>
      <w:hyperlink w:anchor="_Toc211640977" w:history="1">
        <w:r w:rsidRPr="001255D1">
          <w:rPr>
            <w:rStyle w:val="Hyperlink"/>
            <w:rFonts w:ascii="Arial" w:hAnsi="Arial" w:cs="Arial"/>
            <w:noProof/>
          </w:rPr>
          <w:t>12.</w:t>
        </w:r>
        <w:r w:rsidRPr="001255D1">
          <w:rPr>
            <w:rFonts w:ascii="Arial" w:eastAsiaTheme="minorEastAsia" w:hAnsi="Arial" w:cs="Arial"/>
            <w:noProof/>
            <w:kern w:val="2"/>
            <w:sz w:val="24"/>
            <w:szCs w:val="24"/>
            <w14:ligatures w14:val="standardContextual"/>
          </w:rPr>
          <w:tab/>
        </w:r>
        <w:r w:rsidRPr="001255D1">
          <w:rPr>
            <w:rStyle w:val="Hyperlink"/>
            <w:rFonts w:ascii="Arial" w:hAnsi="Arial" w:cs="Arial"/>
            <w:noProof/>
            <w:lang w:val="en"/>
          </w:rPr>
          <w:t>Index Dissemination</w:t>
        </w:r>
        <w:r w:rsidRPr="001255D1">
          <w:rPr>
            <w:rFonts w:ascii="Arial" w:hAnsi="Arial" w:cs="Arial"/>
            <w:noProof/>
            <w:webHidden/>
          </w:rPr>
          <w:tab/>
        </w:r>
        <w:r w:rsidRPr="001255D1">
          <w:rPr>
            <w:rFonts w:ascii="Arial" w:hAnsi="Arial" w:cs="Arial"/>
            <w:noProof/>
            <w:webHidden/>
          </w:rPr>
          <w:fldChar w:fldCharType="begin"/>
        </w:r>
        <w:r w:rsidRPr="001255D1">
          <w:rPr>
            <w:rFonts w:ascii="Arial" w:hAnsi="Arial" w:cs="Arial"/>
            <w:noProof/>
            <w:webHidden/>
          </w:rPr>
          <w:instrText xml:space="preserve"> PAGEREF _Toc211640977 \h </w:instrText>
        </w:r>
        <w:r w:rsidRPr="001255D1">
          <w:rPr>
            <w:rFonts w:ascii="Arial" w:hAnsi="Arial" w:cs="Arial"/>
            <w:noProof/>
            <w:webHidden/>
          </w:rPr>
        </w:r>
        <w:r w:rsidRPr="001255D1">
          <w:rPr>
            <w:rFonts w:ascii="Arial" w:hAnsi="Arial" w:cs="Arial"/>
            <w:noProof/>
            <w:webHidden/>
          </w:rPr>
          <w:fldChar w:fldCharType="separate"/>
        </w:r>
        <w:r w:rsidRPr="001255D1">
          <w:rPr>
            <w:rFonts w:ascii="Arial" w:hAnsi="Arial" w:cs="Arial"/>
            <w:noProof/>
            <w:webHidden/>
          </w:rPr>
          <w:t>169</w:t>
        </w:r>
        <w:r w:rsidRPr="001255D1">
          <w:rPr>
            <w:rFonts w:ascii="Arial" w:hAnsi="Arial" w:cs="Arial"/>
            <w:noProof/>
            <w:webHidden/>
          </w:rPr>
          <w:fldChar w:fldCharType="end"/>
        </w:r>
      </w:hyperlink>
    </w:p>
    <w:p w14:paraId="04DC9CBE" w14:textId="22532E40" w:rsidR="00B3515A" w:rsidRPr="000D3C71" w:rsidRDefault="00953439" w:rsidP="002C372A">
      <w:pPr>
        <w:pStyle w:val="TOC1"/>
        <w:tabs>
          <w:tab w:val="clear" w:pos="8302"/>
          <w:tab w:val="right" w:leader="dot" w:pos="8494"/>
        </w:tabs>
        <w:spacing w:beforeLines="0"/>
        <w:rPr>
          <w:rFonts w:ascii="Arial" w:hAnsi="Arial" w:cs="Arial"/>
        </w:rPr>
        <w:sectPr w:rsidR="00B3515A" w:rsidRPr="000D3C71" w:rsidSect="009D0010">
          <w:headerReference w:type="default" r:id="rId11"/>
          <w:pgSz w:w="11906" w:h="16838"/>
          <w:pgMar w:top="1440" w:right="1800" w:bottom="1440" w:left="1800" w:header="851" w:footer="992" w:gutter="0"/>
          <w:cols w:space="425"/>
          <w:docGrid w:type="lines" w:linePitch="312"/>
        </w:sectPr>
      </w:pPr>
      <w:r w:rsidRPr="001255D1">
        <w:rPr>
          <w:rFonts w:ascii="Arial" w:hAnsi="Arial" w:cs="Arial"/>
          <w:noProof/>
          <w:szCs w:val="21"/>
        </w:rPr>
        <w:fldChar w:fldCharType="end"/>
      </w:r>
    </w:p>
    <w:p w14:paraId="1E75C7CB" w14:textId="77777777" w:rsidR="00735AE1" w:rsidRPr="000D3C71" w:rsidRDefault="00953439" w:rsidP="002C372A">
      <w:pPr>
        <w:pStyle w:val="Heading3"/>
        <w:rPr>
          <w:rFonts w:ascii="Arial" w:hAnsi="Arial" w:cs="Arial"/>
        </w:rPr>
      </w:pPr>
      <w:bookmarkStart w:id="21" w:name="_Toc340435585"/>
      <w:bookmarkStart w:id="22" w:name="_Toc340435515"/>
      <w:bookmarkStart w:id="23" w:name="_Toc329633086"/>
      <w:bookmarkStart w:id="24" w:name="_Toc127083914"/>
      <w:bookmarkStart w:id="25" w:name="_Toc16920818"/>
      <w:bookmarkStart w:id="26" w:name="_Toc211640916"/>
      <w:r w:rsidRPr="000D3C71">
        <w:rPr>
          <w:rFonts w:ascii="Arial" w:hAnsi="Arial" w:cs="Arial"/>
          <w:bCs/>
          <w:lang w:val="en"/>
        </w:rPr>
        <w:t>I. Preface</w:t>
      </w:r>
      <w:bookmarkEnd w:id="21"/>
      <w:bookmarkEnd w:id="22"/>
      <w:bookmarkEnd w:id="23"/>
      <w:bookmarkEnd w:id="24"/>
      <w:bookmarkEnd w:id="25"/>
      <w:bookmarkEnd w:id="26"/>
    </w:p>
    <w:p w14:paraId="277E7503" w14:textId="77777777" w:rsidR="00735AE1"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The ChinaAMC CSI 300 Exchange Traded Fund Prospectus (Updated) (hereinafter referred to as the "Prospectus") has been prepared in accordance with the Securities Investment Fund Law of the People's Republic of China (the “Fund Law"), the Measures for the Administration of the Sale of Securities Investment Funds (the "Measures for the Administration of Fund Sales"), the Measures for the Administration of Operations of Publicly Offered Securities Investment Funds (the "Measures for Fund Operations"), the Measures for the Administration of Information Disclosure of Publicly Offered Securities Investment Funds (the "Measures for Information Disclosure"), the Provisions on Liquidity Risk Management of Publicly Offered Open-End Securities Investment Funds (the "Liquidity Risk Management Provisions"), and other applicable provisions, as well as the ChinaAMC CSI 300 Exchange Traded Fund Contract (the "Fund Contract").</w:t>
      </w:r>
    </w:p>
    <w:p w14:paraId="395BCBC2" w14:textId="77777777" w:rsidR="00735AE1"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The Fund Manager hereby represents and warrants that this Prospectus contains no false records, misleading statements, or material omissions, and assumes legal responsibility for its truthfulness, accuracy, and completeness. The Fund is offered based on the information contained in this Prospectus. The Fund Manager has not authorized any other person to provide information not contained in this Prospectus or to make any explanation or representation concerning this Prospectus.</w:t>
      </w:r>
    </w:p>
    <w:p w14:paraId="11A498E3" w14:textId="77777777" w:rsidR="00735AE1"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This Prospectus has been prepared in accordance with the Fund Contract and has been approved by the CSRC. The Fund Contract is the legal document that stipulates the rights and obligations among the Parties to the Fund. A Fund Investor, upon lawfully acquiring Fund units pursuant to the Fund Contract, shall become a Fund Unitholder and a Party to the Fund Contract; the act of holding Fund units in itself signifies the investor's acknowledgment and acceptance of the Fund Contract, and they shall enjoy rights and assume obligations in accordance with the Fund Law, the Fund Contract, and other applicable provisions. Investors are advised to carefully review the Fund Contract in order to fully understand the rights and obligations of Fund Unitholders.</w:t>
      </w:r>
    </w:p>
    <w:p w14:paraId="7289F3E9" w14:textId="77777777" w:rsidR="000A7962" w:rsidRPr="000D3C71" w:rsidRDefault="00953439" w:rsidP="002C372A">
      <w:pPr>
        <w:pStyle w:val="Heading3"/>
        <w:rPr>
          <w:rFonts w:ascii="Arial" w:hAnsi="Arial" w:cs="Arial"/>
        </w:rPr>
      </w:pPr>
      <w:bookmarkStart w:id="27" w:name="_Toc340435586"/>
      <w:bookmarkStart w:id="28" w:name="_Toc340435516"/>
      <w:bookmarkStart w:id="29" w:name="_Toc329633087"/>
      <w:bookmarkStart w:id="30" w:name="_Toc127083915"/>
      <w:bookmarkStart w:id="31" w:name="_Toc211640917"/>
      <w:r w:rsidRPr="000D3C71">
        <w:rPr>
          <w:rFonts w:ascii="Arial" w:hAnsi="Arial" w:cs="Arial"/>
          <w:bCs/>
          <w:lang w:val="en"/>
        </w:rPr>
        <w:t>II. Definitions</w:t>
      </w:r>
      <w:bookmarkEnd w:id="27"/>
      <w:bookmarkEnd w:id="28"/>
      <w:bookmarkEnd w:id="29"/>
      <w:bookmarkEnd w:id="30"/>
      <w:bookmarkEnd w:id="31"/>
    </w:p>
    <w:p w14:paraId="315F1B5F" w14:textId="77777777" w:rsidR="000A7962"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lang w:val="en"/>
        </w:rPr>
        <w:t>In this Prospectus, unless the context otherwise specifies, the following terms and abbreviations shall have the meanings set forth below:</w:t>
      </w:r>
    </w:p>
    <w:tbl>
      <w:tblPr>
        <w:tblStyle w:val="afff8"/>
        <w:tblW w:w="0" w:type="auto"/>
        <w:tblInd w:w="93" w:type="dxa"/>
        <w:tblLook w:val="0000" w:firstRow="0" w:lastRow="0" w:firstColumn="0" w:lastColumn="0" w:noHBand="0" w:noVBand="0"/>
      </w:tblPr>
      <w:tblGrid>
        <w:gridCol w:w="2418"/>
        <w:gridCol w:w="5795"/>
      </w:tblGrid>
      <w:tr w:rsidR="00824725" w:rsidRPr="000D3C71" w14:paraId="7EAE29E5" w14:textId="77777777" w:rsidTr="00504955">
        <w:trPr>
          <w:trHeight w:val="285"/>
        </w:trPr>
        <w:tc>
          <w:tcPr>
            <w:tcW w:w="2451" w:type="dxa"/>
            <w:tcBorders>
              <w:top w:val="nil"/>
              <w:left w:val="nil"/>
              <w:bottom w:val="nil"/>
              <w:right w:val="nil"/>
            </w:tcBorders>
          </w:tcPr>
          <w:p w14:paraId="28A9CA61"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Fund or the Fund:</w:t>
            </w:r>
          </w:p>
        </w:tc>
        <w:tc>
          <w:tcPr>
            <w:tcW w:w="5978" w:type="dxa"/>
            <w:tcBorders>
              <w:top w:val="nil"/>
              <w:left w:val="nil"/>
              <w:bottom w:val="nil"/>
              <w:right w:val="nil"/>
            </w:tcBorders>
          </w:tcPr>
          <w:p w14:paraId="14C5ADED"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Refers to ChinaAMC CSI 300 Exchange Traded Fund. </w:t>
            </w:r>
          </w:p>
        </w:tc>
      </w:tr>
      <w:tr w:rsidR="00824725" w:rsidRPr="000D3C71" w14:paraId="34714B15" w14:textId="77777777" w:rsidTr="00504955">
        <w:trPr>
          <w:trHeight w:val="285"/>
        </w:trPr>
        <w:tc>
          <w:tcPr>
            <w:tcW w:w="2451" w:type="dxa"/>
            <w:tcBorders>
              <w:top w:val="nil"/>
              <w:left w:val="nil"/>
              <w:bottom w:val="nil"/>
              <w:right w:val="nil"/>
            </w:tcBorders>
          </w:tcPr>
          <w:p w14:paraId="7A8A3D5C"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Fund Manager:</w:t>
            </w:r>
          </w:p>
        </w:tc>
        <w:tc>
          <w:tcPr>
            <w:tcW w:w="5978" w:type="dxa"/>
            <w:tcBorders>
              <w:top w:val="nil"/>
              <w:left w:val="nil"/>
              <w:bottom w:val="nil"/>
              <w:right w:val="nil"/>
            </w:tcBorders>
          </w:tcPr>
          <w:p w14:paraId="2460E657"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China Asset Management Co., Ltd.</w:t>
            </w:r>
          </w:p>
        </w:tc>
      </w:tr>
      <w:tr w:rsidR="00824725" w:rsidRPr="000D3C71" w14:paraId="3D5B1B16" w14:textId="77777777" w:rsidTr="00504955">
        <w:trPr>
          <w:trHeight w:val="285"/>
        </w:trPr>
        <w:tc>
          <w:tcPr>
            <w:tcW w:w="2451" w:type="dxa"/>
            <w:tcBorders>
              <w:top w:val="nil"/>
              <w:left w:val="nil"/>
              <w:bottom w:val="nil"/>
              <w:right w:val="nil"/>
            </w:tcBorders>
          </w:tcPr>
          <w:p w14:paraId="795A364C"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Fund Custodian:</w:t>
            </w:r>
          </w:p>
        </w:tc>
        <w:tc>
          <w:tcPr>
            <w:tcW w:w="5978" w:type="dxa"/>
            <w:tcBorders>
              <w:top w:val="nil"/>
              <w:left w:val="nil"/>
              <w:bottom w:val="nil"/>
              <w:right w:val="nil"/>
            </w:tcBorders>
          </w:tcPr>
          <w:p w14:paraId="14E2015D"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Industrial and Commercial Bank of China Limited</w:t>
            </w:r>
          </w:p>
        </w:tc>
      </w:tr>
      <w:tr w:rsidR="00824725" w:rsidRPr="000D3C71" w14:paraId="1919BD94" w14:textId="77777777" w:rsidTr="00504955">
        <w:trPr>
          <w:trHeight w:val="285"/>
        </w:trPr>
        <w:tc>
          <w:tcPr>
            <w:tcW w:w="2451" w:type="dxa"/>
            <w:tcBorders>
              <w:top w:val="nil"/>
              <w:left w:val="nil"/>
              <w:bottom w:val="nil"/>
              <w:right w:val="nil"/>
            </w:tcBorders>
          </w:tcPr>
          <w:p w14:paraId="6B2AEDB6"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Fund Contract: </w:t>
            </w:r>
          </w:p>
        </w:tc>
        <w:tc>
          <w:tcPr>
            <w:tcW w:w="5978" w:type="dxa"/>
            <w:tcBorders>
              <w:top w:val="nil"/>
              <w:left w:val="nil"/>
              <w:bottom w:val="nil"/>
              <w:right w:val="nil"/>
            </w:tcBorders>
          </w:tcPr>
          <w:p w14:paraId="68EE4D56"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ChinaAMC CSI 300 Exchange Traded Fund Contract and any valid amendments and supplements thereto.</w:t>
            </w:r>
          </w:p>
        </w:tc>
      </w:tr>
      <w:tr w:rsidR="00824725" w:rsidRPr="000D3C71" w14:paraId="430C8649" w14:textId="77777777" w:rsidTr="00504955">
        <w:trPr>
          <w:trHeight w:val="285"/>
        </w:trPr>
        <w:tc>
          <w:tcPr>
            <w:tcW w:w="2451" w:type="dxa"/>
            <w:tcBorders>
              <w:top w:val="nil"/>
              <w:left w:val="nil"/>
              <w:bottom w:val="nil"/>
              <w:right w:val="nil"/>
            </w:tcBorders>
          </w:tcPr>
          <w:p w14:paraId="0B8A885F"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Custody Agreement: </w:t>
            </w:r>
          </w:p>
        </w:tc>
        <w:tc>
          <w:tcPr>
            <w:tcW w:w="5978" w:type="dxa"/>
            <w:tcBorders>
              <w:top w:val="nil"/>
              <w:left w:val="nil"/>
              <w:bottom w:val="nil"/>
              <w:right w:val="nil"/>
            </w:tcBorders>
          </w:tcPr>
          <w:p w14:paraId="5C9E616D"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ChinaAMC CSI 300 Exchange Traded Fund Custody Agreement entered into between the Fund Manager and the Fund Custodian in respect of the Fund, and any valid amendments and supplements thereto.</w:t>
            </w:r>
          </w:p>
        </w:tc>
      </w:tr>
      <w:tr w:rsidR="00824725" w:rsidRPr="000D3C71" w14:paraId="6C4AEFBD" w14:textId="77777777" w:rsidTr="00504955">
        <w:trPr>
          <w:trHeight w:val="285"/>
        </w:trPr>
        <w:tc>
          <w:tcPr>
            <w:tcW w:w="2451" w:type="dxa"/>
            <w:tcBorders>
              <w:top w:val="nil"/>
              <w:left w:val="nil"/>
              <w:bottom w:val="nil"/>
              <w:right w:val="nil"/>
            </w:tcBorders>
          </w:tcPr>
          <w:p w14:paraId="528889BE"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Prospectus: </w:t>
            </w:r>
          </w:p>
        </w:tc>
        <w:tc>
          <w:tcPr>
            <w:tcW w:w="5978" w:type="dxa"/>
            <w:tcBorders>
              <w:top w:val="nil"/>
              <w:left w:val="nil"/>
              <w:bottom w:val="nil"/>
              <w:right w:val="nil"/>
            </w:tcBorders>
          </w:tcPr>
          <w:p w14:paraId="5B191517"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ChinaAMC CSI 300 Exchange Traded Fund Prospectus and any updates thereto.</w:t>
            </w:r>
          </w:p>
        </w:tc>
      </w:tr>
      <w:tr w:rsidR="00824725" w:rsidRPr="000D3C71" w14:paraId="454B9479" w14:textId="77777777" w:rsidTr="00504955">
        <w:trPr>
          <w:trHeight w:val="285"/>
        </w:trPr>
        <w:tc>
          <w:tcPr>
            <w:tcW w:w="2451" w:type="dxa"/>
            <w:tcBorders>
              <w:top w:val="nil"/>
              <w:left w:val="nil"/>
              <w:bottom w:val="nil"/>
              <w:right w:val="nil"/>
            </w:tcBorders>
          </w:tcPr>
          <w:p w14:paraId="11DC2471" w14:textId="77777777" w:rsidR="00E94CC5" w:rsidRPr="000D3C71" w:rsidRDefault="00953439" w:rsidP="00504955">
            <w:pPr>
              <w:pStyle w:val="affd"/>
              <w:widowControl/>
              <w:spacing w:line="360" w:lineRule="auto"/>
              <w:jc w:val="left"/>
              <w:rPr>
                <w:rFonts w:ascii="Arial" w:hAnsi="Arial" w:cs="Arial"/>
              </w:rPr>
            </w:pPr>
            <w:r w:rsidRPr="000D3C71">
              <w:rPr>
                <w:rFonts w:ascii="Arial" w:hAnsi="Arial" w:cs="Arial"/>
                <w:lang w:val="en"/>
              </w:rPr>
              <w:t>Product Key Facts Statement:</w:t>
            </w:r>
          </w:p>
        </w:tc>
        <w:tc>
          <w:tcPr>
            <w:tcW w:w="5978" w:type="dxa"/>
            <w:tcBorders>
              <w:top w:val="nil"/>
              <w:left w:val="nil"/>
              <w:bottom w:val="nil"/>
              <w:right w:val="nil"/>
            </w:tcBorders>
          </w:tcPr>
          <w:p w14:paraId="456EC36A" w14:textId="77777777" w:rsidR="00E94CC5"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ChinaAMC CSI 300 Exchange Traded Fund Product Key Facts Statement and any updates thereto.</w:t>
            </w:r>
          </w:p>
        </w:tc>
      </w:tr>
      <w:tr w:rsidR="00824725" w:rsidRPr="000D3C71" w14:paraId="0B985762" w14:textId="77777777" w:rsidTr="00504955">
        <w:trPr>
          <w:trHeight w:val="285"/>
        </w:trPr>
        <w:tc>
          <w:tcPr>
            <w:tcW w:w="2451" w:type="dxa"/>
            <w:tcBorders>
              <w:top w:val="nil"/>
              <w:left w:val="nil"/>
              <w:bottom w:val="nil"/>
              <w:right w:val="nil"/>
            </w:tcBorders>
          </w:tcPr>
          <w:p w14:paraId="7F8BAD0F"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Fund Unit Offering Announcement:</w:t>
            </w:r>
          </w:p>
        </w:tc>
        <w:tc>
          <w:tcPr>
            <w:tcW w:w="5978" w:type="dxa"/>
            <w:tcBorders>
              <w:top w:val="nil"/>
              <w:left w:val="nil"/>
              <w:bottom w:val="nil"/>
              <w:right w:val="nil"/>
            </w:tcBorders>
          </w:tcPr>
          <w:p w14:paraId="2C7B271D"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ChinaAMC CSI 300 Exchange Traded Fund Unit Offering Announcement.</w:t>
            </w:r>
          </w:p>
        </w:tc>
      </w:tr>
      <w:tr w:rsidR="00824725" w:rsidRPr="000D3C71" w14:paraId="0760FE55" w14:textId="77777777" w:rsidTr="00504955">
        <w:trPr>
          <w:trHeight w:val="285"/>
        </w:trPr>
        <w:tc>
          <w:tcPr>
            <w:tcW w:w="2451" w:type="dxa"/>
            <w:tcBorders>
              <w:top w:val="nil"/>
              <w:left w:val="nil"/>
              <w:bottom w:val="nil"/>
              <w:right w:val="nil"/>
            </w:tcBorders>
          </w:tcPr>
          <w:p w14:paraId="6E5D07E4"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Laws and Regulations: </w:t>
            </w:r>
          </w:p>
        </w:tc>
        <w:tc>
          <w:tcPr>
            <w:tcW w:w="5978" w:type="dxa"/>
            <w:tcBorders>
              <w:top w:val="nil"/>
              <w:left w:val="nil"/>
              <w:bottom w:val="nil"/>
              <w:right w:val="nil"/>
            </w:tcBorders>
          </w:tcPr>
          <w:p w14:paraId="0204A600"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laws, administrative regulations, normative documents, judicial interpretations, administrative rules, and other decisions, resolutions, notices, or binding instruments of the People’s Republic of China that are in force and binding on the parties to the Fund Contract.</w:t>
            </w:r>
          </w:p>
        </w:tc>
      </w:tr>
      <w:tr w:rsidR="00824725" w:rsidRPr="000D3C71" w14:paraId="2CB486CA" w14:textId="77777777" w:rsidTr="00504955">
        <w:trPr>
          <w:trHeight w:val="570"/>
        </w:trPr>
        <w:tc>
          <w:tcPr>
            <w:tcW w:w="2451" w:type="dxa"/>
            <w:tcBorders>
              <w:top w:val="nil"/>
              <w:left w:val="nil"/>
              <w:bottom w:val="nil"/>
              <w:right w:val="nil"/>
            </w:tcBorders>
          </w:tcPr>
          <w:p w14:paraId="2F09BC6D"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Fund Law: </w:t>
            </w:r>
          </w:p>
        </w:tc>
        <w:tc>
          <w:tcPr>
            <w:tcW w:w="5978" w:type="dxa"/>
            <w:tcBorders>
              <w:top w:val="nil"/>
              <w:left w:val="nil"/>
              <w:bottom w:val="nil"/>
              <w:right w:val="nil"/>
            </w:tcBorders>
          </w:tcPr>
          <w:p w14:paraId="238E7F40"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Securities Investment Fund Law of the People’s Republic of China and its amendments as may be promulgated from time to time by the competent authority.</w:t>
            </w:r>
          </w:p>
        </w:tc>
      </w:tr>
      <w:tr w:rsidR="00824725" w:rsidRPr="000D3C71" w14:paraId="62F17C0E" w14:textId="77777777" w:rsidTr="00504955">
        <w:trPr>
          <w:trHeight w:val="285"/>
        </w:trPr>
        <w:tc>
          <w:tcPr>
            <w:tcW w:w="2451" w:type="dxa"/>
            <w:tcBorders>
              <w:top w:val="nil"/>
              <w:left w:val="nil"/>
              <w:bottom w:val="nil"/>
              <w:right w:val="nil"/>
            </w:tcBorders>
          </w:tcPr>
          <w:p w14:paraId="24A3CEFC"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Measures for the Administration of Fund Sales: </w:t>
            </w:r>
          </w:p>
        </w:tc>
        <w:tc>
          <w:tcPr>
            <w:tcW w:w="5978" w:type="dxa"/>
            <w:tcBorders>
              <w:top w:val="nil"/>
              <w:left w:val="nil"/>
              <w:bottom w:val="nil"/>
              <w:right w:val="nil"/>
            </w:tcBorders>
          </w:tcPr>
          <w:p w14:paraId="3B486257"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Measures for the Administration of the Sale of Securities Investment Funds and its amendment as may be promulgated from time to time by the competent authority.</w:t>
            </w:r>
          </w:p>
        </w:tc>
      </w:tr>
      <w:tr w:rsidR="00824725" w:rsidRPr="000D3C71" w14:paraId="65FB2805" w14:textId="77777777" w:rsidTr="00504955">
        <w:trPr>
          <w:trHeight w:val="285"/>
        </w:trPr>
        <w:tc>
          <w:tcPr>
            <w:tcW w:w="2451" w:type="dxa"/>
            <w:tcBorders>
              <w:top w:val="nil"/>
              <w:left w:val="nil"/>
              <w:bottom w:val="nil"/>
              <w:right w:val="nil"/>
            </w:tcBorders>
          </w:tcPr>
          <w:p w14:paraId="65312284"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Measures for Information Disclosure:</w:t>
            </w:r>
          </w:p>
        </w:tc>
        <w:tc>
          <w:tcPr>
            <w:tcW w:w="5978" w:type="dxa"/>
            <w:tcBorders>
              <w:top w:val="nil"/>
              <w:left w:val="nil"/>
              <w:bottom w:val="nil"/>
              <w:right w:val="nil"/>
            </w:tcBorders>
          </w:tcPr>
          <w:p w14:paraId="2905FE57"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"Measures for the Administration of Information Disclosure of Publicly Offered Securities Investment Funds" and its amendment as may be promulgated from time to time by the competent authority.</w:t>
            </w:r>
          </w:p>
        </w:tc>
      </w:tr>
      <w:tr w:rsidR="00824725" w:rsidRPr="000D3C71" w14:paraId="4EC22720" w14:textId="77777777" w:rsidTr="00504955">
        <w:trPr>
          <w:trHeight w:val="285"/>
        </w:trPr>
        <w:tc>
          <w:tcPr>
            <w:tcW w:w="2451" w:type="dxa"/>
            <w:tcBorders>
              <w:top w:val="nil"/>
              <w:left w:val="nil"/>
              <w:bottom w:val="nil"/>
              <w:right w:val="nil"/>
            </w:tcBorders>
          </w:tcPr>
          <w:p w14:paraId="6F3B2E8A"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Measures for Fund Operations: </w:t>
            </w:r>
          </w:p>
        </w:tc>
        <w:tc>
          <w:tcPr>
            <w:tcW w:w="5978" w:type="dxa"/>
            <w:tcBorders>
              <w:top w:val="nil"/>
              <w:left w:val="nil"/>
              <w:bottom w:val="nil"/>
              <w:right w:val="nil"/>
            </w:tcBorders>
          </w:tcPr>
          <w:p w14:paraId="4C756575" w14:textId="77777777" w:rsidR="00CF7387"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Measures for the Administration of Operations of Publicly Offered Securities Investment Funds and its amendment as may be promulgated from time to time by the competent authority.</w:t>
            </w:r>
          </w:p>
        </w:tc>
      </w:tr>
      <w:tr w:rsidR="00824725" w:rsidRPr="000D3C71" w14:paraId="774F11D9" w14:textId="77777777" w:rsidTr="00504955">
        <w:trPr>
          <w:trHeight w:val="570"/>
        </w:trPr>
        <w:tc>
          <w:tcPr>
            <w:tcW w:w="2451" w:type="dxa"/>
            <w:tcBorders>
              <w:top w:val="nil"/>
              <w:left w:val="nil"/>
              <w:bottom w:val="nil"/>
              <w:right w:val="nil"/>
            </w:tcBorders>
          </w:tcPr>
          <w:p w14:paraId="0963C681"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Securities Law:</w:t>
            </w:r>
          </w:p>
        </w:tc>
        <w:tc>
          <w:tcPr>
            <w:tcW w:w="5978" w:type="dxa"/>
            <w:tcBorders>
              <w:top w:val="nil"/>
              <w:left w:val="nil"/>
              <w:bottom w:val="nil"/>
              <w:right w:val="nil"/>
            </w:tcBorders>
          </w:tcPr>
          <w:p w14:paraId="53C2E81A"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Securities Law of the People's Republic of China and its amendment as may be promulgated from time to time by the competent authority.</w:t>
            </w:r>
          </w:p>
        </w:tc>
      </w:tr>
      <w:tr w:rsidR="00824725" w:rsidRPr="000D3C71" w14:paraId="269F747D" w14:textId="77777777" w:rsidTr="00504955">
        <w:trPr>
          <w:trHeight w:val="570"/>
        </w:trPr>
        <w:tc>
          <w:tcPr>
            <w:tcW w:w="2451" w:type="dxa"/>
            <w:tcBorders>
              <w:top w:val="nil"/>
              <w:left w:val="nil"/>
              <w:bottom w:val="nil"/>
              <w:right w:val="nil"/>
            </w:tcBorders>
          </w:tcPr>
          <w:p w14:paraId="2F6C9AF5" w14:textId="77777777" w:rsidR="00DA421E" w:rsidRPr="000D3C71" w:rsidRDefault="00953439" w:rsidP="00504955">
            <w:pPr>
              <w:pStyle w:val="affd"/>
              <w:widowControl/>
              <w:spacing w:line="360" w:lineRule="auto"/>
              <w:jc w:val="left"/>
              <w:rPr>
                <w:rFonts w:ascii="Arial" w:hAnsi="Arial" w:cs="Arial"/>
              </w:rPr>
            </w:pPr>
            <w:r w:rsidRPr="000D3C71">
              <w:rPr>
                <w:rFonts w:ascii="Arial" w:hAnsi="Arial" w:cs="Arial"/>
                <w:szCs w:val="21"/>
                <w:lang w:val="en"/>
              </w:rPr>
              <w:t>Provisions on Liquidity Risk Management:</w:t>
            </w:r>
          </w:p>
        </w:tc>
        <w:tc>
          <w:tcPr>
            <w:tcW w:w="5978" w:type="dxa"/>
            <w:tcBorders>
              <w:top w:val="nil"/>
              <w:left w:val="nil"/>
              <w:bottom w:val="nil"/>
              <w:right w:val="nil"/>
            </w:tcBorders>
          </w:tcPr>
          <w:p w14:paraId="74817CD9" w14:textId="77777777" w:rsidR="00DA421E" w:rsidRPr="000D3C71" w:rsidRDefault="00953439" w:rsidP="00504955">
            <w:pPr>
              <w:pStyle w:val="affd"/>
              <w:widowControl/>
              <w:spacing w:line="360" w:lineRule="auto"/>
              <w:jc w:val="left"/>
              <w:rPr>
                <w:rFonts w:ascii="Arial" w:hAnsi="Arial" w:cs="Arial"/>
              </w:rPr>
            </w:pPr>
            <w:r w:rsidRPr="000D3C71">
              <w:rPr>
                <w:rFonts w:ascii="Arial" w:hAnsi="Arial" w:cs="Arial"/>
                <w:szCs w:val="21"/>
                <w:lang w:val="en"/>
              </w:rPr>
              <w:t>Refers to the Provisions on Liquidity Risk Management of Publicly Offered Open-End Securities Investment Funds promulgated by the CSRC on August 31, 2017 and effective from October 1, 2017, and its amendment as may be promulgated from time to time by the competent authority.</w:t>
            </w:r>
          </w:p>
        </w:tc>
      </w:tr>
      <w:tr w:rsidR="00824725" w:rsidRPr="000D3C71" w14:paraId="2AFE8F4E" w14:textId="77777777" w:rsidTr="00504955">
        <w:trPr>
          <w:trHeight w:val="570"/>
        </w:trPr>
        <w:tc>
          <w:tcPr>
            <w:tcW w:w="2451" w:type="dxa"/>
            <w:tcBorders>
              <w:top w:val="nil"/>
              <w:left w:val="nil"/>
              <w:bottom w:val="nil"/>
              <w:right w:val="nil"/>
            </w:tcBorders>
          </w:tcPr>
          <w:p w14:paraId="4E44A95D"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Exchange Traded Fund: </w:t>
            </w:r>
          </w:p>
        </w:tc>
        <w:tc>
          <w:tcPr>
            <w:tcW w:w="5978" w:type="dxa"/>
            <w:tcBorders>
              <w:top w:val="nil"/>
              <w:left w:val="nil"/>
              <w:bottom w:val="nil"/>
              <w:right w:val="nil"/>
            </w:tcBorders>
          </w:tcPr>
          <w:p w14:paraId="3B223957"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Refers to “exchange traded fund" as defined in the Implementing Rules of Shanghai Stock Exchange for Exchange Traded Funds. </w:t>
            </w:r>
          </w:p>
        </w:tc>
      </w:tr>
      <w:tr w:rsidR="00824725" w:rsidRPr="000D3C71" w14:paraId="7FD70D17" w14:textId="77777777" w:rsidTr="00504955">
        <w:trPr>
          <w:trHeight w:val="855"/>
        </w:trPr>
        <w:tc>
          <w:tcPr>
            <w:tcW w:w="2451" w:type="dxa"/>
            <w:tcBorders>
              <w:top w:val="nil"/>
              <w:left w:val="nil"/>
              <w:bottom w:val="nil"/>
              <w:right w:val="nil"/>
            </w:tcBorders>
          </w:tcPr>
          <w:p w14:paraId="02CC6EDE"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Business Rules: </w:t>
            </w:r>
          </w:p>
        </w:tc>
        <w:tc>
          <w:tcPr>
            <w:tcW w:w="5978" w:type="dxa"/>
            <w:tcBorders>
              <w:top w:val="nil"/>
              <w:left w:val="nil"/>
              <w:bottom w:val="nil"/>
              <w:right w:val="nil"/>
            </w:tcBorders>
          </w:tcPr>
          <w:p w14:paraId="77C5F1B8"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Refers to the Implementation Rules of the Shanghai Stock Exchange for the Business of Exchange-Traded Funds, the Implementation Rules of China Securities Depository and Clearing Corporation Limited on the Registration and Clearing Services for Exchange-Traded Funds, and other relevant rules and provisions issued by the Shanghai Stock Exchange and China Securities Depository and Clearing Corporation Limited. </w:t>
            </w:r>
          </w:p>
        </w:tc>
      </w:tr>
      <w:tr w:rsidR="00824725" w:rsidRPr="000D3C71" w14:paraId="4A9D3ECE" w14:textId="77777777" w:rsidTr="00504955">
        <w:trPr>
          <w:trHeight w:val="285"/>
        </w:trPr>
        <w:tc>
          <w:tcPr>
            <w:tcW w:w="2451" w:type="dxa"/>
            <w:tcBorders>
              <w:top w:val="nil"/>
              <w:left w:val="nil"/>
              <w:bottom w:val="nil"/>
              <w:right w:val="nil"/>
            </w:tcBorders>
          </w:tcPr>
          <w:p w14:paraId="781E15D3"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CSRC: </w:t>
            </w:r>
          </w:p>
        </w:tc>
        <w:tc>
          <w:tcPr>
            <w:tcW w:w="5978" w:type="dxa"/>
            <w:tcBorders>
              <w:top w:val="nil"/>
              <w:left w:val="nil"/>
              <w:bottom w:val="nil"/>
              <w:right w:val="nil"/>
            </w:tcBorders>
          </w:tcPr>
          <w:p w14:paraId="35384434"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China Securities Regulatory Commission.</w:t>
            </w:r>
          </w:p>
        </w:tc>
      </w:tr>
      <w:tr w:rsidR="00824725" w:rsidRPr="000D3C71" w14:paraId="298EA919" w14:textId="77777777" w:rsidTr="00504955">
        <w:trPr>
          <w:trHeight w:val="570"/>
        </w:trPr>
        <w:tc>
          <w:tcPr>
            <w:tcW w:w="2451" w:type="dxa"/>
            <w:tcBorders>
              <w:top w:val="nil"/>
              <w:left w:val="nil"/>
              <w:bottom w:val="nil"/>
              <w:right w:val="nil"/>
            </w:tcBorders>
          </w:tcPr>
          <w:p w14:paraId="0D7F3C5B"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Banking Regulatory Authority:</w:t>
            </w:r>
          </w:p>
        </w:tc>
        <w:tc>
          <w:tcPr>
            <w:tcW w:w="5978" w:type="dxa"/>
            <w:tcBorders>
              <w:top w:val="nil"/>
              <w:left w:val="nil"/>
              <w:bottom w:val="nil"/>
              <w:right w:val="nil"/>
            </w:tcBorders>
          </w:tcPr>
          <w:p w14:paraId="653B2887"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People’s Bank of China and/or the China Banking and Insurance Regulatory Commission.</w:t>
            </w:r>
          </w:p>
        </w:tc>
      </w:tr>
      <w:tr w:rsidR="00824725" w:rsidRPr="000D3C71" w14:paraId="1063ED12" w14:textId="77777777" w:rsidTr="00504955">
        <w:trPr>
          <w:trHeight w:val="285"/>
        </w:trPr>
        <w:tc>
          <w:tcPr>
            <w:tcW w:w="2451" w:type="dxa"/>
            <w:tcBorders>
              <w:top w:val="nil"/>
              <w:left w:val="nil"/>
              <w:bottom w:val="nil"/>
              <w:right w:val="nil"/>
            </w:tcBorders>
          </w:tcPr>
          <w:p w14:paraId="60F9E6B1"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Parties to the Fund Contract:</w:t>
            </w:r>
          </w:p>
        </w:tc>
        <w:tc>
          <w:tcPr>
            <w:tcW w:w="5978" w:type="dxa"/>
            <w:tcBorders>
              <w:top w:val="nil"/>
              <w:left w:val="nil"/>
              <w:bottom w:val="nil"/>
              <w:right w:val="nil"/>
            </w:tcBorders>
          </w:tcPr>
          <w:p w14:paraId="6E14007F"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legal entities that are bound by the Fund Contract and entitled to the rights and subject to the obligations thereunder, including the Fund Manager, the Fund Custodian, and the Fund Unitholders.</w:t>
            </w:r>
          </w:p>
        </w:tc>
      </w:tr>
      <w:tr w:rsidR="00824725" w:rsidRPr="000D3C71" w14:paraId="001EBD63" w14:textId="77777777" w:rsidTr="00504955">
        <w:trPr>
          <w:trHeight w:val="285"/>
        </w:trPr>
        <w:tc>
          <w:tcPr>
            <w:tcW w:w="2451" w:type="dxa"/>
            <w:tcBorders>
              <w:top w:val="nil"/>
              <w:left w:val="nil"/>
              <w:bottom w:val="nil"/>
              <w:right w:val="nil"/>
            </w:tcBorders>
          </w:tcPr>
          <w:p w14:paraId="648A726D"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Individual Investor:</w:t>
            </w:r>
          </w:p>
        </w:tc>
        <w:tc>
          <w:tcPr>
            <w:tcW w:w="5978" w:type="dxa"/>
            <w:tcBorders>
              <w:top w:val="nil"/>
              <w:left w:val="nil"/>
              <w:bottom w:val="nil"/>
              <w:right w:val="nil"/>
            </w:tcBorders>
          </w:tcPr>
          <w:p w14:paraId="2E54A3DA"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a natural person who is permitted to invest in securities investment funds in accordance with relevant laws and regulations.</w:t>
            </w:r>
          </w:p>
        </w:tc>
      </w:tr>
      <w:tr w:rsidR="00824725" w:rsidRPr="000D3C71" w14:paraId="7C76A1CF" w14:textId="77777777" w:rsidTr="00504955">
        <w:trPr>
          <w:trHeight w:val="570"/>
        </w:trPr>
        <w:tc>
          <w:tcPr>
            <w:tcW w:w="2451" w:type="dxa"/>
            <w:tcBorders>
              <w:top w:val="nil"/>
              <w:left w:val="nil"/>
              <w:bottom w:val="nil"/>
              <w:right w:val="nil"/>
            </w:tcBorders>
          </w:tcPr>
          <w:p w14:paraId="3654349D"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Institutional Investor:</w:t>
            </w:r>
          </w:p>
        </w:tc>
        <w:tc>
          <w:tcPr>
            <w:tcW w:w="5978" w:type="dxa"/>
            <w:tcBorders>
              <w:top w:val="nil"/>
              <w:left w:val="nil"/>
              <w:bottom w:val="nil"/>
              <w:right w:val="nil"/>
            </w:tcBorders>
          </w:tcPr>
          <w:p w14:paraId="577346F9"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a corporate legal person, public institution, social organization, or other entity lawfully registered and existing within the People's Republic of China, or established and existing with the approval of relevant government authorities, and legally permitted to invest in securities investment funds.</w:t>
            </w:r>
          </w:p>
        </w:tc>
      </w:tr>
      <w:tr w:rsidR="00824725" w:rsidRPr="000D3C71" w14:paraId="24FC3EC9" w14:textId="77777777" w:rsidTr="00504955">
        <w:trPr>
          <w:trHeight w:val="285"/>
        </w:trPr>
        <w:tc>
          <w:tcPr>
            <w:tcW w:w="2451" w:type="dxa"/>
            <w:tcBorders>
              <w:top w:val="nil"/>
              <w:left w:val="nil"/>
              <w:bottom w:val="nil"/>
              <w:right w:val="nil"/>
            </w:tcBorders>
          </w:tcPr>
          <w:p w14:paraId="6E2A7CDB"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Investor:</w:t>
            </w:r>
          </w:p>
        </w:tc>
        <w:tc>
          <w:tcPr>
            <w:tcW w:w="5978" w:type="dxa"/>
            <w:tcBorders>
              <w:top w:val="nil"/>
              <w:left w:val="nil"/>
              <w:bottom w:val="nil"/>
              <w:right w:val="nil"/>
            </w:tcBorders>
          </w:tcPr>
          <w:p w14:paraId="6F04C4BB"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collectively to Individual Investors, Institutional Investors, qualified foreign institutional investors, and other investors permitted to purchase securities investment funds by laws, regulations, or the CSRC.</w:t>
            </w:r>
          </w:p>
        </w:tc>
      </w:tr>
      <w:tr w:rsidR="00824725" w:rsidRPr="000D3C71" w14:paraId="66208CBE" w14:textId="77777777" w:rsidTr="00504955">
        <w:trPr>
          <w:trHeight w:val="285"/>
        </w:trPr>
        <w:tc>
          <w:tcPr>
            <w:tcW w:w="2451" w:type="dxa"/>
            <w:tcBorders>
              <w:top w:val="nil"/>
              <w:left w:val="nil"/>
              <w:bottom w:val="nil"/>
              <w:right w:val="nil"/>
            </w:tcBorders>
          </w:tcPr>
          <w:p w14:paraId="7C015A71"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Fund Unitholder:</w:t>
            </w:r>
          </w:p>
        </w:tc>
        <w:tc>
          <w:tcPr>
            <w:tcW w:w="5978" w:type="dxa"/>
            <w:tcBorders>
              <w:top w:val="nil"/>
              <w:left w:val="nil"/>
              <w:bottom w:val="nil"/>
              <w:right w:val="nil"/>
            </w:tcBorders>
          </w:tcPr>
          <w:p w14:paraId="5AF78E72"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an investor who has lawfully acquired Fund units in accordance with the Fund Contract and this Prospectus.</w:t>
            </w:r>
          </w:p>
        </w:tc>
      </w:tr>
      <w:tr w:rsidR="00824725" w:rsidRPr="000D3C71" w14:paraId="674CF225" w14:textId="77777777" w:rsidTr="00504955">
        <w:trPr>
          <w:trHeight w:val="285"/>
        </w:trPr>
        <w:tc>
          <w:tcPr>
            <w:tcW w:w="2451" w:type="dxa"/>
            <w:tcBorders>
              <w:top w:val="nil"/>
              <w:left w:val="nil"/>
              <w:bottom w:val="nil"/>
              <w:right w:val="nil"/>
            </w:tcBorders>
          </w:tcPr>
          <w:p w14:paraId="09C4535B"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Fund Sales Services:</w:t>
            </w:r>
          </w:p>
        </w:tc>
        <w:tc>
          <w:tcPr>
            <w:tcW w:w="5978" w:type="dxa"/>
            <w:tcBorders>
              <w:top w:val="nil"/>
              <w:left w:val="nil"/>
              <w:bottom w:val="nil"/>
              <w:right w:val="nil"/>
            </w:tcBorders>
          </w:tcPr>
          <w:p w14:paraId="4BBE86FA"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promotion and marketing of the Fund, the offering of Fund units, and the processing of Fund unit creations, redemptions, and other related services by the Fund Manager or Sales Agencies.</w:t>
            </w:r>
          </w:p>
        </w:tc>
      </w:tr>
      <w:tr w:rsidR="00824725" w:rsidRPr="000D3C71" w14:paraId="2C24EB0A" w14:textId="77777777" w:rsidTr="00504955">
        <w:trPr>
          <w:trHeight w:val="285"/>
        </w:trPr>
        <w:tc>
          <w:tcPr>
            <w:tcW w:w="2451" w:type="dxa"/>
            <w:tcBorders>
              <w:top w:val="nil"/>
              <w:left w:val="nil"/>
              <w:bottom w:val="nil"/>
              <w:right w:val="nil"/>
            </w:tcBorders>
          </w:tcPr>
          <w:p w14:paraId="0DF260AB"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Distributor:</w:t>
            </w:r>
          </w:p>
        </w:tc>
        <w:tc>
          <w:tcPr>
            <w:tcW w:w="5978" w:type="dxa"/>
            <w:tcBorders>
              <w:top w:val="nil"/>
              <w:left w:val="nil"/>
              <w:bottom w:val="nil"/>
              <w:right w:val="nil"/>
            </w:tcBorders>
          </w:tcPr>
          <w:p w14:paraId="267330D4"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Refers to the Fund Manager and a Sales Agency of the Fund. </w:t>
            </w:r>
          </w:p>
        </w:tc>
      </w:tr>
      <w:tr w:rsidR="00824725" w:rsidRPr="000D3C71" w14:paraId="0084DCF6" w14:textId="77777777" w:rsidTr="00504955">
        <w:trPr>
          <w:trHeight w:val="285"/>
        </w:trPr>
        <w:tc>
          <w:tcPr>
            <w:tcW w:w="2451" w:type="dxa"/>
            <w:tcBorders>
              <w:top w:val="nil"/>
              <w:left w:val="nil"/>
              <w:bottom w:val="nil"/>
              <w:right w:val="nil"/>
            </w:tcBorders>
          </w:tcPr>
          <w:p w14:paraId="1F59B70D"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Direct Distributor:</w:t>
            </w:r>
          </w:p>
        </w:tc>
        <w:tc>
          <w:tcPr>
            <w:tcW w:w="5978" w:type="dxa"/>
            <w:tcBorders>
              <w:top w:val="nil"/>
              <w:left w:val="nil"/>
              <w:bottom w:val="nil"/>
              <w:right w:val="nil"/>
            </w:tcBorders>
          </w:tcPr>
          <w:p w14:paraId="4FD02E16"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China Asset Management Co., Ltd.</w:t>
            </w:r>
          </w:p>
        </w:tc>
      </w:tr>
      <w:tr w:rsidR="00824725" w:rsidRPr="000D3C71" w14:paraId="028BAD4D" w14:textId="77777777" w:rsidTr="00504955">
        <w:trPr>
          <w:trHeight w:val="285"/>
        </w:trPr>
        <w:tc>
          <w:tcPr>
            <w:tcW w:w="2451" w:type="dxa"/>
            <w:tcBorders>
              <w:top w:val="nil"/>
              <w:left w:val="nil"/>
              <w:bottom w:val="nil"/>
              <w:right w:val="nil"/>
            </w:tcBorders>
          </w:tcPr>
          <w:p w14:paraId="041D6A1D"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Sales Agency:</w:t>
            </w:r>
          </w:p>
        </w:tc>
        <w:tc>
          <w:tcPr>
            <w:tcW w:w="5978" w:type="dxa"/>
            <w:tcBorders>
              <w:top w:val="nil"/>
              <w:left w:val="nil"/>
              <w:bottom w:val="nil"/>
              <w:right w:val="nil"/>
            </w:tcBorders>
          </w:tcPr>
          <w:p w14:paraId="777C9C78"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an Offering Agency and/or an Authorized Participant.</w:t>
            </w:r>
          </w:p>
        </w:tc>
      </w:tr>
      <w:tr w:rsidR="00824725" w:rsidRPr="000D3C71" w14:paraId="3613A676" w14:textId="77777777" w:rsidTr="00504955">
        <w:trPr>
          <w:trHeight w:val="285"/>
        </w:trPr>
        <w:tc>
          <w:tcPr>
            <w:tcW w:w="2451" w:type="dxa"/>
            <w:tcBorders>
              <w:top w:val="nil"/>
              <w:left w:val="nil"/>
              <w:bottom w:val="nil"/>
              <w:right w:val="nil"/>
            </w:tcBorders>
          </w:tcPr>
          <w:p w14:paraId="43842762"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Offering Agency:</w:t>
            </w:r>
          </w:p>
        </w:tc>
        <w:tc>
          <w:tcPr>
            <w:tcW w:w="5978" w:type="dxa"/>
            <w:tcBorders>
              <w:top w:val="nil"/>
              <w:left w:val="nil"/>
              <w:bottom w:val="nil"/>
              <w:right w:val="nil"/>
            </w:tcBorders>
          </w:tcPr>
          <w:p w14:paraId="3FE7AE39"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an institution designated by the Fund Manager to act as an agent for the offering of the Fund.</w:t>
            </w:r>
          </w:p>
        </w:tc>
      </w:tr>
      <w:tr w:rsidR="00824725" w:rsidRPr="000D3C71" w14:paraId="33167093" w14:textId="77777777" w:rsidTr="00504955">
        <w:trPr>
          <w:trHeight w:val="285"/>
        </w:trPr>
        <w:tc>
          <w:tcPr>
            <w:tcW w:w="2451" w:type="dxa"/>
            <w:tcBorders>
              <w:top w:val="nil"/>
              <w:left w:val="nil"/>
              <w:bottom w:val="nil"/>
              <w:right w:val="nil"/>
            </w:tcBorders>
          </w:tcPr>
          <w:p w14:paraId="2AE5C9F8"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Authorized Participant:</w:t>
            </w:r>
          </w:p>
        </w:tc>
        <w:tc>
          <w:tcPr>
            <w:tcW w:w="5978" w:type="dxa"/>
            <w:tcBorders>
              <w:top w:val="nil"/>
              <w:left w:val="nil"/>
              <w:bottom w:val="nil"/>
              <w:right w:val="nil"/>
            </w:tcBorders>
          </w:tcPr>
          <w:p w14:paraId="4C820569"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an institution designated by the Fund Manager to act as an agent for the creation and redemption of Fund units.</w:t>
            </w:r>
          </w:p>
        </w:tc>
      </w:tr>
      <w:tr w:rsidR="00824725" w:rsidRPr="000D3C71" w14:paraId="2DEE388D" w14:textId="77777777" w:rsidTr="00504955">
        <w:trPr>
          <w:trHeight w:val="285"/>
        </w:trPr>
        <w:tc>
          <w:tcPr>
            <w:tcW w:w="2451" w:type="dxa"/>
            <w:tcBorders>
              <w:top w:val="nil"/>
              <w:left w:val="nil"/>
              <w:bottom w:val="nil"/>
              <w:right w:val="nil"/>
            </w:tcBorders>
          </w:tcPr>
          <w:p w14:paraId="7EE992A9"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Registration and Clearing Services:</w:t>
            </w:r>
          </w:p>
        </w:tc>
        <w:tc>
          <w:tcPr>
            <w:tcW w:w="5978" w:type="dxa"/>
            <w:tcBorders>
              <w:top w:val="nil"/>
              <w:left w:val="nil"/>
              <w:bottom w:val="nil"/>
              <w:right w:val="nil"/>
            </w:tcBorders>
          </w:tcPr>
          <w:p w14:paraId="61AC66BD"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registration, custody, and settlement services for fund units as defined in the Implementation Rules of China Securities Depository and Clearing Corporation Limited on the Registration and Clearing Services for Exchange-Traded Funds.</w:t>
            </w:r>
          </w:p>
        </w:tc>
      </w:tr>
      <w:tr w:rsidR="00824725" w:rsidRPr="000D3C71" w14:paraId="3B483AD4" w14:textId="77777777" w:rsidTr="00504955">
        <w:trPr>
          <w:trHeight w:val="285"/>
        </w:trPr>
        <w:tc>
          <w:tcPr>
            <w:tcW w:w="2451" w:type="dxa"/>
            <w:tcBorders>
              <w:top w:val="nil"/>
              <w:left w:val="nil"/>
              <w:bottom w:val="nil"/>
              <w:right w:val="nil"/>
            </w:tcBorders>
          </w:tcPr>
          <w:p w14:paraId="26FC5589"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Registration and Clearing Agency: </w:t>
            </w:r>
          </w:p>
        </w:tc>
        <w:tc>
          <w:tcPr>
            <w:tcW w:w="5978" w:type="dxa"/>
            <w:tcBorders>
              <w:top w:val="nil"/>
              <w:left w:val="nil"/>
              <w:bottom w:val="nil"/>
              <w:right w:val="nil"/>
            </w:tcBorders>
          </w:tcPr>
          <w:p w14:paraId="396A3A38"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an agency that provides registration and clearing services. The Registration and Clearing Agency for the Fund is China Securities Depository and Clearing Corporation Limited (CSDC).</w:t>
            </w:r>
          </w:p>
        </w:tc>
      </w:tr>
      <w:tr w:rsidR="00824725" w:rsidRPr="000D3C71" w14:paraId="1C033ABB" w14:textId="77777777" w:rsidTr="00504955">
        <w:trPr>
          <w:trHeight w:val="285"/>
        </w:trPr>
        <w:tc>
          <w:tcPr>
            <w:tcW w:w="2451" w:type="dxa"/>
            <w:tcBorders>
              <w:top w:val="nil"/>
              <w:left w:val="nil"/>
              <w:bottom w:val="nil"/>
              <w:right w:val="nil"/>
            </w:tcBorders>
          </w:tcPr>
          <w:p w14:paraId="5D05B19A"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Fund Contract Effective Date: </w:t>
            </w:r>
          </w:p>
        </w:tc>
        <w:tc>
          <w:tcPr>
            <w:tcW w:w="5978" w:type="dxa"/>
            <w:tcBorders>
              <w:top w:val="nil"/>
              <w:left w:val="nil"/>
              <w:bottom w:val="nil"/>
              <w:right w:val="nil"/>
            </w:tcBorders>
          </w:tcPr>
          <w:p w14:paraId="3E7B51F0"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date on which the fundraising for the Fund meets the conditions stipulated by laws, regulations, and the Fund Contract, the Fund Manager has completed the fund filing procedures with the CSRC, and written confirmation from the CSRC has been obtained.</w:t>
            </w:r>
          </w:p>
        </w:tc>
      </w:tr>
      <w:tr w:rsidR="00824725" w:rsidRPr="000D3C71" w14:paraId="4D5A20D1" w14:textId="77777777" w:rsidTr="00504955">
        <w:trPr>
          <w:trHeight w:val="285"/>
        </w:trPr>
        <w:tc>
          <w:tcPr>
            <w:tcW w:w="2451" w:type="dxa"/>
            <w:tcBorders>
              <w:top w:val="nil"/>
              <w:left w:val="nil"/>
              <w:bottom w:val="nil"/>
              <w:right w:val="nil"/>
            </w:tcBorders>
          </w:tcPr>
          <w:p w14:paraId="42F0E9E8"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Fund Contract Termination Date: </w:t>
            </w:r>
          </w:p>
        </w:tc>
        <w:tc>
          <w:tcPr>
            <w:tcW w:w="5978" w:type="dxa"/>
            <w:tcBorders>
              <w:top w:val="nil"/>
              <w:left w:val="nil"/>
              <w:bottom w:val="nil"/>
              <w:right w:val="nil"/>
            </w:tcBorders>
          </w:tcPr>
          <w:p w14:paraId="2F4A382F"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date on which, following the occurrence of a termination event as stipulated in the Fund Contract, the liquidation of the Fund’s Property is completed, and the results of the liquidation are filed with the CSRC for record and publicly announced.</w:t>
            </w:r>
          </w:p>
        </w:tc>
      </w:tr>
      <w:tr w:rsidR="00824725" w:rsidRPr="000D3C71" w14:paraId="309BC022" w14:textId="77777777" w:rsidTr="00504955">
        <w:trPr>
          <w:trHeight w:val="285"/>
        </w:trPr>
        <w:tc>
          <w:tcPr>
            <w:tcW w:w="2451" w:type="dxa"/>
            <w:tcBorders>
              <w:top w:val="nil"/>
              <w:left w:val="nil"/>
              <w:bottom w:val="nil"/>
              <w:right w:val="nil"/>
            </w:tcBorders>
          </w:tcPr>
          <w:p w14:paraId="15A9BF2E"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Offering Period: </w:t>
            </w:r>
          </w:p>
        </w:tc>
        <w:tc>
          <w:tcPr>
            <w:tcW w:w="5978" w:type="dxa"/>
            <w:tcBorders>
              <w:top w:val="nil"/>
              <w:left w:val="nil"/>
              <w:bottom w:val="nil"/>
              <w:right w:val="nil"/>
            </w:tcBorders>
          </w:tcPr>
          <w:p w14:paraId="2C18059A"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period commencing on the initial offering date of Fund units and ending on the closing date of the offering, which shall not exceed three months.</w:t>
            </w:r>
          </w:p>
        </w:tc>
      </w:tr>
      <w:tr w:rsidR="00824725" w:rsidRPr="000D3C71" w14:paraId="5D4DA12D" w14:textId="77777777" w:rsidTr="00504955">
        <w:trPr>
          <w:trHeight w:val="285"/>
        </w:trPr>
        <w:tc>
          <w:tcPr>
            <w:tcW w:w="2451" w:type="dxa"/>
            <w:tcBorders>
              <w:top w:val="nil"/>
              <w:left w:val="nil"/>
              <w:bottom w:val="nil"/>
              <w:right w:val="nil"/>
            </w:tcBorders>
          </w:tcPr>
          <w:p w14:paraId="6226B45D"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Term: </w:t>
            </w:r>
          </w:p>
        </w:tc>
        <w:tc>
          <w:tcPr>
            <w:tcW w:w="5978" w:type="dxa"/>
            <w:tcBorders>
              <w:top w:val="nil"/>
              <w:left w:val="nil"/>
              <w:bottom w:val="nil"/>
              <w:right w:val="nil"/>
            </w:tcBorders>
          </w:tcPr>
          <w:p w14:paraId="01E22FBA"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indefinite period of time commencing on the Effective Date of the Fund Contract and ending on the Termination Date of the Fund Contract.</w:t>
            </w:r>
          </w:p>
        </w:tc>
      </w:tr>
      <w:tr w:rsidR="00824725" w:rsidRPr="000D3C71" w14:paraId="6B60F4F3" w14:textId="77777777" w:rsidTr="00504955">
        <w:trPr>
          <w:trHeight w:val="285"/>
        </w:trPr>
        <w:tc>
          <w:tcPr>
            <w:tcW w:w="2451" w:type="dxa"/>
            <w:tcBorders>
              <w:top w:val="nil"/>
              <w:left w:val="nil"/>
              <w:bottom w:val="nil"/>
              <w:right w:val="nil"/>
            </w:tcBorders>
          </w:tcPr>
          <w:p w14:paraId="062D1472"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Business Day: </w:t>
            </w:r>
          </w:p>
        </w:tc>
        <w:tc>
          <w:tcPr>
            <w:tcW w:w="5978" w:type="dxa"/>
            <w:tcBorders>
              <w:top w:val="nil"/>
              <w:left w:val="nil"/>
              <w:bottom w:val="nil"/>
              <w:right w:val="nil"/>
            </w:tcBorders>
          </w:tcPr>
          <w:p w14:paraId="0A75FC69"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a normal trading day of the Shanghai Stock Exchange and the Shenzhen Stock Exchange.</w:t>
            </w:r>
          </w:p>
        </w:tc>
      </w:tr>
      <w:tr w:rsidR="00824725" w:rsidRPr="000D3C71" w14:paraId="662E5B87" w14:textId="77777777" w:rsidTr="00504955">
        <w:trPr>
          <w:trHeight w:val="285"/>
        </w:trPr>
        <w:tc>
          <w:tcPr>
            <w:tcW w:w="2451" w:type="dxa"/>
            <w:tcBorders>
              <w:top w:val="nil"/>
              <w:left w:val="nil"/>
              <w:bottom w:val="nil"/>
              <w:right w:val="nil"/>
            </w:tcBorders>
          </w:tcPr>
          <w:p w14:paraId="01A1FFF3"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Dealing Day:</w:t>
            </w:r>
          </w:p>
        </w:tc>
        <w:tc>
          <w:tcPr>
            <w:tcW w:w="5978" w:type="dxa"/>
            <w:tcBorders>
              <w:top w:val="nil"/>
              <w:left w:val="nil"/>
              <w:bottom w:val="nil"/>
              <w:right w:val="nil"/>
            </w:tcBorders>
          </w:tcPr>
          <w:p w14:paraId="3EE4AF85"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a Business Day on which the Fund is open for the processing of Fund unit creations, redemptions, and other services for investors.</w:t>
            </w:r>
          </w:p>
        </w:tc>
      </w:tr>
      <w:tr w:rsidR="00824725" w:rsidRPr="000D3C71" w14:paraId="06D71DAC" w14:textId="77777777" w:rsidTr="00504955">
        <w:trPr>
          <w:trHeight w:val="285"/>
        </w:trPr>
        <w:tc>
          <w:tcPr>
            <w:tcW w:w="2451" w:type="dxa"/>
            <w:tcBorders>
              <w:top w:val="nil"/>
              <w:left w:val="nil"/>
              <w:bottom w:val="nil"/>
              <w:right w:val="nil"/>
            </w:tcBorders>
          </w:tcPr>
          <w:p w14:paraId="1B7A4A06"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T Day: </w:t>
            </w:r>
          </w:p>
        </w:tc>
        <w:tc>
          <w:tcPr>
            <w:tcW w:w="5978" w:type="dxa"/>
            <w:tcBorders>
              <w:top w:val="nil"/>
              <w:left w:val="nil"/>
              <w:bottom w:val="nil"/>
              <w:right w:val="nil"/>
            </w:tcBorders>
          </w:tcPr>
          <w:p w14:paraId="3D7684F2"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an Open Day on which a sales institution accepts an investor's application for creation, redemption, or other transactions within a prescribed time.</w:t>
            </w:r>
          </w:p>
        </w:tc>
      </w:tr>
      <w:tr w:rsidR="00824725" w:rsidRPr="000D3C71" w14:paraId="38B82C9C" w14:textId="77777777" w:rsidTr="00504955">
        <w:trPr>
          <w:trHeight w:val="285"/>
        </w:trPr>
        <w:tc>
          <w:tcPr>
            <w:tcW w:w="2451" w:type="dxa"/>
            <w:tcBorders>
              <w:top w:val="nil"/>
              <w:left w:val="nil"/>
              <w:bottom w:val="nil"/>
              <w:right w:val="nil"/>
            </w:tcBorders>
          </w:tcPr>
          <w:p w14:paraId="0599F63A"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T+n Day: </w:t>
            </w:r>
          </w:p>
        </w:tc>
        <w:tc>
          <w:tcPr>
            <w:tcW w:w="5978" w:type="dxa"/>
            <w:tcBorders>
              <w:top w:val="nil"/>
              <w:left w:val="nil"/>
              <w:bottom w:val="nil"/>
              <w:right w:val="nil"/>
            </w:tcBorders>
          </w:tcPr>
          <w:p w14:paraId="7E87BF05"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n-th Business Day following T Day (not including T Day).</w:t>
            </w:r>
          </w:p>
        </w:tc>
      </w:tr>
      <w:tr w:rsidR="00824725" w:rsidRPr="000D3C71" w14:paraId="7AAF568A" w14:textId="77777777" w:rsidTr="00504955">
        <w:trPr>
          <w:trHeight w:val="285"/>
        </w:trPr>
        <w:tc>
          <w:tcPr>
            <w:tcW w:w="2451" w:type="dxa"/>
            <w:tcBorders>
              <w:top w:val="nil"/>
              <w:left w:val="nil"/>
              <w:bottom w:val="nil"/>
              <w:right w:val="nil"/>
            </w:tcBorders>
          </w:tcPr>
          <w:p w14:paraId="0C943803"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Opening Hours: </w:t>
            </w:r>
          </w:p>
        </w:tc>
        <w:tc>
          <w:tcPr>
            <w:tcW w:w="5978" w:type="dxa"/>
            <w:tcBorders>
              <w:top w:val="nil"/>
              <w:left w:val="nil"/>
              <w:bottom w:val="nil"/>
              <w:right w:val="nil"/>
            </w:tcBorders>
          </w:tcPr>
          <w:p w14:paraId="2D358EAD"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time period during an Open Day when the Fund accepts applications for creations, redemptions, or other transactions.</w:t>
            </w:r>
          </w:p>
        </w:tc>
      </w:tr>
      <w:tr w:rsidR="00824725" w:rsidRPr="000D3C71" w14:paraId="52A1DA69" w14:textId="77777777" w:rsidTr="00504955">
        <w:trPr>
          <w:trHeight w:val="285"/>
        </w:trPr>
        <w:tc>
          <w:tcPr>
            <w:tcW w:w="2451" w:type="dxa"/>
            <w:tcBorders>
              <w:top w:val="nil"/>
              <w:left w:val="nil"/>
              <w:bottom w:val="nil"/>
              <w:right w:val="nil"/>
            </w:tcBorders>
          </w:tcPr>
          <w:p w14:paraId="3397E837"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Subscription:</w:t>
            </w:r>
          </w:p>
        </w:tc>
        <w:tc>
          <w:tcPr>
            <w:tcW w:w="5978" w:type="dxa"/>
            <w:tcBorders>
              <w:top w:val="nil"/>
              <w:left w:val="nil"/>
              <w:bottom w:val="nil"/>
              <w:right w:val="nil"/>
            </w:tcBorders>
          </w:tcPr>
          <w:p w14:paraId="65B45806"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Refers to the act of an investor applying to purchase Fund units during the Offering Period. </w:t>
            </w:r>
          </w:p>
        </w:tc>
      </w:tr>
      <w:tr w:rsidR="00824725" w:rsidRPr="000D3C71" w14:paraId="1D0C88C5" w14:textId="77777777" w:rsidTr="00504955">
        <w:trPr>
          <w:trHeight w:val="285"/>
        </w:trPr>
        <w:tc>
          <w:tcPr>
            <w:tcW w:w="2451" w:type="dxa"/>
            <w:tcBorders>
              <w:top w:val="nil"/>
              <w:left w:val="nil"/>
              <w:bottom w:val="nil"/>
              <w:right w:val="nil"/>
            </w:tcBorders>
          </w:tcPr>
          <w:p w14:paraId="2644CE21"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Creation:</w:t>
            </w:r>
          </w:p>
        </w:tc>
        <w:tc>
          <w:tcPr>
            <w:tcW w:w="5978" w:type="dxa"/>
            <w:tcBorders>
              <w:top w:val="nil"/>
              <w:left w:val="nil"/>
              <w:bottom w:val="nil"/>
              <w:right w:val="nil"/>
            </w:tcBorders>
          </w:tcPr>
          <w:p w14:paraId="38A4959D"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act of an investor applying to purchase Fund units in accordance with the Fund Contract and this Prospectus after the Fund Contract has become effective.</w:t>
            </w:r>
          </w:p>
        </w:tc>
      </w:tr>
      <w:tr w:rsidR="00824725" w:rsidRPr="000D3C71" w14:paraId="67EF97A1" w14:textId="77777777" w:rsidTr="00504955">
        <w:trPr>
          <w:trHeight w:val="285"/>
        </w:trPr>
        <w:tc>
          <w:tcPr>
            <w:tcW w:w="2451" w:type="dxa"/>
            <w:tcBorders>
              <w:top w:val="nil"/>
              <w:left w:val="nil"/>
              <w:bottom w:val="nil"/>
              <w:right w:val="nil"/>
            </w:tcBorders>
          </w:tcPr>
          <w:p w14:paraId="04E7B427"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Redemption:</w:t>
            </w:r>
          </w:p>
        </w:tc>
        <w:tc>
          <w:tcPr>
            <w:tcW w:w="5978" w:type="dxa"/>
            <w:tcBorders>
              <w:top w:val="nil"/>
              <w:left w:val="nil"/>
              <w:bottom w:val="nil"/>
              <w:right w:val="nil"/>
            </w:tcBorders>
          </w:tcPr>
          <w:p w14:paraId="47F6F3B1"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act of a Fund Unitholder requesting the Fund Manager to repurchase Fund units in accordance with the conditions stipulated in the Fund Contract and this Prospectus after the Fund Contract has become effective.</w:t>
            </w:r>
          </w:p>
        </w:tc>
      </w:tr>
      <w:tr w:rsidR="00824725" w:rsidRPr="000D3C71" w14:paraId="6066C57B" w14:textId="77777777" w:rsidTr="00504955">
        <w:trPr>
          <w:trHeight w:val="285"/>
        </w:trPr>
        <w:tc>
          <w:tcPr>
            <w:tcW w:w="2451" w:type="dxa"/>
            <w:tcBorders>
              <w:top w:val="nil"/>
              <w:left w:val="nil"/>
              <w:bottom w:val="nil"/>
              <w:right w:val="nil"/>
            </w:tcBorders>
          </w:tcPr>
          <w:p w14:paraId="6D98DC85"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Portfolio Composition File: </w:t>
            </w:r>
          </w:p>
        </w:tc>
        <w:tc>
          <w:tcPr>
            <w:tcW w:w="5978" w:type="dxa"/>
            <w:tcBorders>
              <w:top w:val="nil"/>
              <w:left w:val="nil"/>
              <w:bottom w:val="nil"/>
              <w:right w:val="nil"/>
            </w:tcBorders>
          </w:tcPr>
          <w:p w14:paraId="1C50BCC6"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a document prepared by the Fund Manager to announce information such as the Creation Consideration and Redemption Consideration.</w:t>
            </w:r>
          </w:p>
        </w:tc>
      </w:tr>
      <w:tr w:rsidR="00824725" w:rsidRPr="000D3C71" w14:paraId="108CDB33" w14:textId="77777777" w:rsidTr="00504955">
        <w:trPr>
          <w:trHeight w:val="285"/>
        </w:trPr>
        <w:tc>
          <w:tcPr>
            <w:tcW w:w="2451" w:type="dxa"/>
            <w:tcBorders>
              <w:top w:val="nil"/>
              <w:left w:val="nil"/>
              <w:bottom w:val="nil"/>
              <w:right w:val="nil"/>
            </w:tcBorders>
          </w:tcPr>
          <w:p w14:paraId="61B2D972"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Creation Consideration:</w:t>
            </w:r>
          </w:p>
        </w:tc>
        <w:tc>
          <w:tcPr>
            <w:tcW w:w="5978" w:type="dxa"/>
            <w:tcBorders>
              <w:top w:val="nil"/>
              <w:left w:val="nil"/>
              <w:bottom w:val="nil"/>
              <w:right w:val="nil"/>
            </w:tcBorders>
          </w:tcPr>
          <w:p w14:paraId="254CDB7C"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portfolio of securities, cash-in-lieu, cash component, and/or other consideration that an investor shall deliver when creating Fund units, as stipulated in the Fund Contract and this Prospectus.</w:t>
            </w:r>
          </w:p>
        </w:tc>
      </w:tr>
      <w:tr w:rsidR="00824725" w:rsidRPr="000D3C71" w14:paraId="3E5B7B27" w14:textId="77777777" w:rsidTr="00504955">
        <w:trPr>
          <w:trHeight w:val="285"/>
        </w:trPr>
        <w:tc>
          <w:tcPr>
            <w:tcW w:w="2451" w:type="dxa"/>
            <w:tcBorders>
              <w:top w:val="nil"/>
              <w:left w:val="nil"/>
              <w:bottom w:val="nil"/>
              <w:right w:val="nil"/>
            </w:tcBorders>
          </w:tcPr>
          <w:p w14:paraId="06C1DB05"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Redemption Consideration:</w:t>
            </w:r>
          </w:p>
        </w:tc>
        <w:tc>
          <w:tcPr>
            <w:tcW w:w="5978" w:type="dxa"/>
            <w:tcBorders>
              <w:top w:val="nil"/>
              <w:left w:val="nil"/>
              <w:bottom w:val="nil"/>
              <w:right w:val="nil"/>
            </w:tcBorders>
          </w:tcPr>
          <w:p w14:paraId="55FBF7BA"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portfolio securities, cash-in-lieu, cash component, and/or other consideration that the Fund Manager shall deliver to a redeeming unitholder, as stipulated in the Fund Contract and this Prospectus.</w:t>
            </w:r>
          </w:p>
        </w:tc>
      </w:tr>
      <w:tr w:rsidR="00824725" w:rsidRPr="000D3C71" w14:paraId="0847BBE7" w14:textId="77777777" w:rsidTr="00504955">
        <w:trPr>
          <w:trHeight w:val="285"/>
        </w:trPr>
        <w:tc>
          <w:tcPr>
            <w:tcW w:w="2451" w:type="dxa"/>
            <w:tcBorders>
              <w:top w:val="nil"/>
              <w:left w:val="nil"/>
              <w:bottom w:val="nil"/>
              <w:right w:val="nil"/>
            </w:tcBorders>
          </w:tcPr>
          <w:p w14:paraId="5690662D"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Underlying Index:</w:t>
            </w:r>
          </w:p>
        </w:tc>
        <w:tc>
          <w:tcPr>
            <w:tcW w:w="5978" w:type="dxa"/>
            <w:tcBorders>
              <w:top w:val="nil"/>
              <w:left w:val="nil"/>
              <w:bottom w:val="nil"/>
              <w:right w:val="nil"/>
            </w:tcBorders>
          </w:tcPr>
          <w:p w14:paraId="7CACB279"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The CSI 300 Index compiled and published by China Securities Index Co., Ltd., any future modifications thereto, or any other index that the Fund Manager may designate as a replacement as needed.</w:t>
            </w:r>
          </w:p>
        </w:tc>
      </w:tr>
      <w:tr w:rsidR="00824725" w:rsidRPr="000D3C71" w14:paraId="59BC182E" w14:textId="77777777" w:rsidTr="00504955">
        <w:trPr>
          <w:trHeight w:val="285"/>
        </w:trPr>
        <w:tc>
          <w:tcPr>
            <w:tcW w:w="2451" w:type="dxa"/>
            <w:tcBorders>
              <w:top w:val="nil"/>
              <w:left w:val="nil"/>
              <w:bottom w:val="nil"/>
              <w:right w:val="nil"/>
            </w:tcBorders>
          </w:tcPr>
          <w:p w14:paraId="43004EC8"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Creation Unit:</w:t>
            </w:r>
          </w:p>
        </w:tc>
        <w:tc>
          <w:tcPr>
            <w:tcW w:w="5978" w:type="dxa"/>
            <w:tcBorders>
              <w:top w:val="nil"/>
              <w:left w:val="nil"/>
              <w:bottom w:val="nil"/>
              <w:right w:val="nil"/>
            </w:tcBorders>
          </w:tcPr>
          <w:p w14:paraId="7DDB1B87"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minimum number of Fund units for a creation or redemption. The number of Fund units for any creation or redemption must be an integer multiple of a Creation Unit.</w:t>
            </w:r>
          </w:p>
        </w:tc>
      </w:tr>
      <w:tr w:rsidR="00824725" w:rsidRPr="000D3C71" w14:paraId="38805670" w14:textId="77777777" w:rsidTr="00504955">
        <w:trPr>
          <w:trHeight w:val="285"/>
        </w:trPr>
        <w:tc>
          <w:tcPr>
            <w:tcW w:w="2451" w:type="dxa"/>
            <w:tcBorders>
              <w:top w:val="nil"/>
              <w:left w:val="nil"/>
              <w:bottom w:val="nil"/>
              <w:right w:val="nil"/>
            </w:tcBorders>
          </w:tcPr>
          <w:p w14:paraId="1FF88C95"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RMB:</w:t>
            </w:r>
          </w:p>
        </w:tc>
        <w:tc>
          <w:tcPr>
            <w:tcW w:w="5978" w:type="dxa"/>
            <w:tcBorders>
              <w:top w:val="nil"/>
              <w:left w:val="nil"/>
              <w:bottom w:val="nil"/>
              <w:right w:val="nil"/>
            </w:tcBorders>
          </w:tcPr>
          <w:p w14:paraId="1D35EAE0"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Renminbi Yuan.</w:t>
            </w:r>
          </w:p>
        </w:tc>
      </w:tr>
      <w:tr w:rsidR="00824725" w:rsidRPr="000D3C71" w14:paraId="73B81808" w14:textId="77777777" w:rsidTr="00504955">
        <w:trPr>
          <w:trHeight w:val="285"/>
        </w:trPr>
        <w:tc>
          <w:tcPr>
            <w:tcW w:w="2451" w:type="dxa"/>
            <w:tcBorders>
              <w:top w:val="nil"/>
              <w:left w:val="nil"/>
              <w:bottom w:val="nil"/>
              <w:right w:val="nil"/>
            </w:tcBorders>
          </w:tcPr>
          <w:p w14:paraId="2E80CFF8"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Fund Income:</w:t>
            </w:r>
          </w:p>
        </w:tc>
        <w:tc>
          <w:tcPr>
            <w:tcW w:w="5978" w:type="dxa"/>
            <w:tcBorders>
              <w:top w:val="nil"/>
              <w:left w:val="nil"/>
              <w:bottom w:val="nil"/>
              <w:right w:val="nil"/>
            </w:tcBorders>
          </w:tcPr>
          <w:p w14:paraId="1EB7294C"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dividends, bonuses, bond interest, gains from the sale of securities, interest on bank deposits, and other realized lawful income, as well as cost and expense savings resulting from the utilization of the Fund's Property.</w:t>
            </w:r>
          </w:p>
        </w:tc>
      </w:tr>
      <w:tr w:rsidR="00824725" w:rsidRPr="000D3C71" w14:paraId="720C139B" w14:textId="77777777" w:rsidTr="00504955">
        <w:trPr>
          <w:trHeight w:val="285"/>
        </w:trPr>
        <w:tc>
          <w:tcPr>
            <w:tcW w:w="2451" w:type="dxa"/>
            <w:tcBorders>
              <w:top w:val="nil"/>
              <w:left w:val="nil"/>
              <w:bottom w:val="nil"/>
              <w:right w:val="nil"/>
            </w:tcBorders>
          </w:tcPr>
          <w:p w14:paraId="787ED96C"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 xml:space="preserve">Total Asset Value of the Fund: </w:t>
            </w:r>
          </w:p>
        </w:tc>
        <w:tc>
          <w:tcPr>
            <w:tcW w:w="5978" w:type="dxa"/>
            <w:tcBorders>
              <w:top w:val="nil"/>
              <w:left w:val="nil"/>
              <w:bottom w:val="nil"/>
              <w:right w:val="nil"/>
            </w:tcBorders>
          </w:tcPr>
          <w:p w14:paraId="35680171"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total value of all types of securities, principal and interest on bank deposits, receivables for creations, and other assets held by the Fund.</w:t>
            </w:r>
          </w:p>
        </w:tc>
      </w:tr>
      <w:tr w:rsidR="00824725" w:rsidRPr="000D3C71" w14:paraId="54396752" w14:textId="77777777" w:rsidTr="00504955">
        <w:trPr>
          <w:trHeight w:val="285"/>
        </w:trPr>
        <w:tc>
          <w:tcPr>
            <w:tcW w:w="2451" w:type="dxa"/>
            <w:tcBorders>
              <w:top w:val="nil"/>
              <w:left w:val="nil"/>
              <w:bottom w:val="nil"/>
              <w:right w:val="nil"/>
            </w:tcBorders>
          </w:tcPr>
          <w:p w14:paraId="54590D0E"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Net Asset Value (NAV) of the Fund:</w:t>
            </w:r>
          </w:p>
        </w:tc>
        <w:tc>
          <w:tcPr>
            <w:tcW w:w="5978" w:type="dxa"/>
            <w:tcBorders>
              <w:top w:val="nil"/>
              <w:left w:val="nil"/>
              <w:bottom w:val="nil"/>
              <w:right w:val="nil"/>
            </w:tcBorders>
          </w:tcPr>
          <w:p w14:paraId="7756B3B7"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value remaining after deducting the Fund's liabilities from its Total Asset Value.</w:t>
            </w:r>
          </w:p>
        </w:tc>
      </w:tr>
      <w:tr w:rsidR="00824725" w:rsidRPr="000D3C71" w14:paraId="27475858" w14:textId="77777777" w:rsidTr="00504955">
        <w:trPr>
          <w:trHeight w:val="285"/>
        </w:trPr>
        <w:tc>
          <w:tcPr>
            <w:tcW w:w="2451" w:type="dxa"/>
            <w:tcBorders>
              <w:top w:val="nil"/>
              <w:left w:val="nil"/>
              <w:bottom w:val="nil"/>
              <w:right w:val="nil"/>
            </w:tcBorders>
          </w:tcPr>
          <w:p w14:paraId="393D87BC"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Net Asset Value (NAV) per Unit:</w:t>
            </w:r>
          </w:p>
        </w:tc>
        <w:tc>
          <w:tcPr>
            <w:tcW w:w="5978" w:type="dxa"/>
            <w:tcBorders>
              <w:top w:val="nil"/>
              <w:left w:val="nil"/>
              <w:bottom w:val="nil"/>
              <w:right w:val="nil"/>
            </w:tcBorders>
          </w:tcPr>
          <w:p w14:paraId="088D1410"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NAV of the Fund on a calculation day divided by the total number of Fund units on that calculation day.</w:t>
            </w:r>
          </w:p>
        </w:tc>
      </w:tr>
      <w:tr w:rsidR="00824725" w:rsidRPr="000D3C71" w14:paraId="5DC530BC" w14:textId="77777777" w:rsidTr="00504955">
        <w:trPr>
          <w:trHeight w:val="285"/>
        </w:trPr>
        <w:tc>
          <w:tcPr>
            <w:tcW w:w="2451" w:type="dxa"/>
            <w:tcBorders>
              <w:top w:val="nil"/>
              <w:left w:val="nil"/>
              <w:bottom w:val="nil"/>
              <w:right w:val="nil"/>
            </w:tcBorders>
          </w:tcPr>
          <w:p w14:paraId="7714FA16"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Valuation of Fund Assets:</w:t>
            </w:r>
          </w:p>
        </w:tc>
        <w:tc>
          <w:tcPr>
            <w:tcW w:w="5978" w:type="dxa"/>
            <w:tcBorders>
              <w:top w:val="nil"/>
              <w:left w:val="nil"/>
              <w:bottom w:val="nil"/>
              <w:right w:val="nil"/>
            </w:tcBorders>
          </w:tcPr>
          <w:p w14:paraId="7ACB2130"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process of calculating and assessing the value of the Fund's assets and liabilities to determine the NAV of the Fund and the NAV per Unit.</w:t>
            </w:r>
          </w:p>
        </w:tc>
      </w:tr>
      <w:tr w:rsidR="00824725" w:rsidRPr="000D3C71" w14:paraId="23427486" w14:textId="77777777" w:rsidTr="00504955">
        <w:trPr>
          <w:trHeight w:val="285"/>
        </w:trPr>
        <w:tc>
          <w:tcPr>
            <w:tcW w:w="2451" w:type="dxa"/>
            <w:tcBorders>
              <w:top w:val="nil"/>
              <w:left w:val="nil"/>
              <w:bottom w:val="nil"/>
              <w:right w:val="nil"/>
            </w:tcBorders>
          </w:tcPr>
          <w:p w14:paraId="70EB97B3" w14:textId="77777777" w:rsidR="00DA421E"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Restricted-Liquidity Assets:</w:t>
            </w:r>
          </w:p>
        </w:tc>
        <w:tc>
          <w:tcPr>
            <w:tcW w:w="5978" w:type="dxa"/>
            <w:tcBorders>
              <w:top w:val="nil"/>
              <w:left w:val="nil"/>
              <w:bottom w:val="nil"/>
              <w:right w:val="nil"/>
            </w:tcBorders>
          </w:tcPr>
          <w:p w14:paraId="1927B474" w14:textId="77777777" w:rsidR="00DA421E"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assets that cannot be realized at a reasonable price due to legal, regulatory, contractual, or operational impediments. This includes, but is not limited to, reverse repurchase agreements and term deposits with a maturity of more than 10 trading days (including bank deposits that may be withdrawn early under certain conditions), suspended stocks, restricted new shares and shares from non-public offerings, asset-backed securities, and bonds that cannot be transferred or traded due to issuer debt default.</w:t>
            </w:r>
          </w:p>
        </w:tc>
      </w:tr>
      <w:tr w:rsidR="00824725" w:rsidRPr="000D3C71" w14:paraId="3A71BDE6" w14:textId="77777777" w:rsidTr="00504955">
        <w:trPr>
          <w:trHeight w:val="285"/>
        </w:trPr>
        <w:tc>
          <w:tcPr>
            <w:tcW w:w="2451" w:type="dxa"/>
            <w:tcBorders>
              <w:top w:val="nil"/>
              <w:left w:val="nil"/>
              <w:bottom w:val="nil"/>
              <w:right w:val="nil"/>
            </w:tcBorders>
          </w:tcPr>
          <w:p w14:paraId="477CFCDD"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Designated Media:</w:t>
            </w:r>
          </w:p>
        </w:tc>
        <w:tc>
          <w:tcPr>
            <w:tcW w:w="5978" w:type="dxa"/>
            <w:tcBorders>
              <w:top w:val="nil"/>
              <w:left w:val="nil"/>
              <w:bottom w:val="nil"/>
              <w:right w:val="nil"/>
            </w:tcBorders>
          </w:tcPr>
          <w:p w14:paraId="20FD8F5E"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the newspapers, internet websites, and other media designated by the CSRC for information disclosure.</w:t>
            </w:r>
          </w:p>
        </w:tc>
      </w:tr>
      <w:tr w:rsidR="00824725" w:rsidRPr="000D3C71" w14:paraId="05B43E2D" w14:textId="77777777" w:rsidTr="00504955">
        <w:trPr>
          <w:trHeight w:val="285"/>
        </w:trPr>
        <w:tc>
          <w:tcPr>
            <w:tcW w:w="2451" w:type="dxa"/>
            <w:tcBorders>
              <w:top w:val="nil"/>
              <w:left w:val="nil"/>
              <w:bottom w:val="nil"/>
              <w:right w:val="nil"/>
            </w:tcBorders>
          </w:tcPr>
          <w:p w14:paraId="388EF599"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Force Majeure:</w:t>
            </w:r>
          </w:p>
        </w:tc>
        <w:tc>
          <w:tcPr>
            <w:tcW w:w="5978" w:type="dxa"/>
            <w:tcBorders>
              <w:top w:val="nil"/>
              <w:left w:val="nil"/>
              <w:bottom w:val="nil"/>
              <w:right w:val="nil"/>
            </w:tcBorders>
          </w:tcPr>
          <w:p w14:paraId="5F70CEA3" w14:textId="77777777" w:rsidR="004828B2" w:rsidRPr="000D3C71" w:rsidRDefault="00953439" w:rsidP="00504955">
            <w:pPr>
              <w:pStyle w:val="affd"/>
              <w:widowControl/>
              <w:spacing w:line="360" w:lineRule="auto"/>
              <w:jc w:val="left"/>
              <w:rPr>
                <w:rFonts w:ascii="Arial" w:hAnsi="Arial" w:cs="Arial"/>
              </w:rPr>
            </w:pPr>
            <w:r w:rsidRPr="000D3C71">
              <w:rPr>
                <w:rFonts w:ascii="Arial" w:hAnsi="Arial" w:cs="Arial"/>
                <w:lang w:val="en"/>
              </w:rPr>
              <w:t>Refers to objective events that are unforeseeable, unavoidable, and insurmountable by the parties to the Fund Contract.</w:t>
            </w:r>
          </w:p>
        </w:tc>
      </w:tr>
    </w:tbl>
    <w:p w14:paraId="6EC1FA98" w14:textId="77777777" w:rsidR="0058308F" w:rsidRPr="000D3C71" w:rsidRDefault="00953439" w:rsidP="002C372A">
      <w:pPr>
        <w:pStyle w:val="Heading3"/>
        <w:rPr>
          <w:rFonts w:ascii="Arial" w:hAnsi="Arial" w:cs="Arial"/>
        </w:rPr>
      </w:pPr>
      <w:bookmarkStart w:id="32" w:name="_Toc340435587"/>
      <w:bookmarkStart w:id="33" w:name="_Toc340435517"/>
      <w:bookmarkStart w:id="34" w:name="_Toc329633088"/>
      <w:bookmarkStart w:id="35" w:name="_Toc127083916"/>
      <w:bookmarkStart w:id="36" w:name="_Toc211640918"/>
      <w:r w:rsidRPr="000D3C71">
        <w:rPr>
          <w:rFonts w:ascii="Arial" w:hAnsi="Arial" w:cs="Arial"/>
          <w:bCs/>
          <w:lang w:val="en"/>
        </w:rPr>
        <w:t>III. Fund Manager</w:t>
      </w:r>
      <w:bookmarkEnd w:id="32"/>
      <w:bookmarkEnd w:id="33"/>
      <w:bookmarkEnd w:id="34"/>
      <w:bookmarkEnd w:id="35"/>
      <w:bookmarkEnd w:id="36"/>
    </w:p>
    <w:p w14:paraId="22B7868B" w14:textId="77777777" w:rsidR="0058308F" w:rsidRPr="000D3C71" w:rsidRDefault="00953439" w:rsidP="002C372A">
      <w:pPr>
        <w:pStyle w:val="affd"/>
        <w:spacing w:line="360" w:lineRule="auto"/>
        <w:ind w:firstLine="420"/>
        <w:rPr>
          <w:rFonts w:ascii="Arial" w:hAnsi="Arial" w:cs="Arial"/>
        </w:rPr>
      </w:pPr>
      <w:r w:rsidRPr="000D3C71">
        <w:rPr>
          <w:rFonts w:ascii="Arial" w:hAnsi="Arial" w:cs="Arial"/>
          <w:lang w:val="en"/>
        </w:rPr>
        <w:t>(I) Fund Manager Overview</w:t>
      </w:r>
    </w:p>
    <w:p w14:paraId="75B13691" w14:textId="77777777" w:rsidR="0058308F" w:rsidRPr="000D3C71" w:rsidRDefault="00953439" w:rsidP="002C372A">
      <w:pPr>
        <w:pStyle w:val="affd"/>
        <w:spacing w:line="360" w:lineRule="auto"/>
        <w:ind w:firstLine="420"/>
        <w:rPr>
          <w:rFonts w:ascii="Arial" w:hAnsi="Arial" w:cs="Arial"/>
        </w:rPr>
      </w:pPr>
      <w:r w:rsidRPr="000D3C71">
        <w:rPr>
          <w:rFonts w:ascii="Arial" w:hAnsi="Arial" w:cs="Arial"/>
          <w:lang w:val="en"/>
        </w:rPr>
        <w:t>Name: China Asset Management Co., Ltd.</w:t>
      </w:r>
    </w:p>
    <w:p w14:paraId="2A876219" w14:textId="77777777" w:rsidR="0058308F" w:rsidRPr="000D3C71" w:rsidRDefault="00953439" w:rsidP="002C372A">
      <w:pPr>
        <w:pStyle w:val="affd"/>
        <w:spacing w:line="360" w:lineRule="auto"/>
        <w:ind w:firstLine="420"/>
        <w:rPr>
          <w:rFonts w:ascii="Arial" w:hAnsi="Arial" w:cs="Arial"/>
        </w:rPr>
      </w:pPr>
      <w:r w:rsidRPr="000D3C71">
        <w:rPr>
          <w:rFonts w:ascii="Arial" w:hAnsi="Arial" w:cs="Arial"/>
          <w:lang w:val="en"/>
        </w:rPr>
        <w:t>Registered Address: Compound A3, Anqing Street, Shunyi District, Beijing</w:t>
      </w:r>
    </w:p>
    <w:p w14:paraId="26CB11A8" w14:textId="77777777" w:rsidR="0058308F" w:rsidRPr="000D3C71" w:rsidRDefault="00953439" w:rsidP="002C372A">
      <w:pPr>
        <w:pStyle w:val="affd"/>
        <w:spacing w:line="360" w:lineRule="auto"/>
        <w:ind w:firstLine="420"/>
        <w:rPr>
          <w:rFonts w:ascii="Arial" w:hAnsi="Arial" w:cs="Arial"/>
        </w:rPr>
      </w:pPr>
      <w:r w:rsidRPr="000D3C71">
        <w:rPr>
          <w:rFonts w:ascii="Arial" w:hAnsi="Arial" w:cs="Arial"/>
          <w:lang w:val="en"/>
        </w:rPr>
        <w:t>Office Address: 5/F, Block C, Beichen Center, 6 Beichen West Road, Chaoyang District, Beijing</w:t>
      </w:r>
    </w:p>
    <w:p w14:paraId="577112D3" w14:textId="77777777" w:rsidR="0058308F" w:rsidRPr="000D3C71" w:rsidRDefault="00953439" w:rsidP="002C372A">
      <w:pPr>
        <w:pStyle w:val="affd"/>
        <w:spacing w:line="360" w:lineRule="auto"/>
        <w:ind w:firstLine="420"/>
        <w:rPr>
          <w:rFonts w:ascii="Arial" w:hAnsi="Arial" w:cs="Arial"/>
        </w:rPr>
      </w:pPr>
      <w:r w:rsidRPr="000D3C71">
        <w:rPr>
          <w:rFonts w:ascii="Arial" w:hAnsi="Arial" w:cs="Arial"/>
          <w:lang w:val="en"/>
        </w:rPr>
        <w:t>Date of Establishment: April 9, 1998</w:t>
      </w:r>
    </w:p>
    <w:p w14:paraId="27EC1CB8" w14:textId="77777777" w:rsidR="005D4FB3" w:rsidRPr="000D3C71" w:rsidRDefault="00953439" w:rsidP="002C372A">
      <w:pPr>
        <w:pStyle w:val="affd"/>
        <w:spacing w:line="360" w:lineRule="auto"/>
        <w:ind w:firstLine="420"/>
        <w:rPr>
          <w:rFonts w:ascii="Arial" w:hAnsi="Arial" w:cs="Arial"/>
        </w:rPr>
      </w:pPr>
      <w:r w:rsidRPr="000D3C71">
        <w:rPr>
          <w:rFonts w:ascii="Arial" w:hAnsi="Arial" w:cs="Arial"/>
          <w:lang w:val="en"/>
        </w:rPr>
        <w:t>Legal Representative: ZHANG Youjun</w:t>
      </w:r>
    </w:p>
    <w:p w14:paraId="2816802F" w14:textId="77777777" w:rsidR="0058308F"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Contact Person: QIU Xi</w:t>
      </w:r>
    </w:p>
    <w:p w14:paraId="02404D8A" w14:textId="77777777" w:rsidR="0058308F"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Customer Service Hotline: 400-818-6666</w:t>
      </w:r>
    </w:p>
    <w:p w14:paraId="77EB5F07" w14:textId="77777777" w:rsidR="0058308F" w:rsidRPr="000D3C71" w:rsidRDefault="00953439" w:rsidP="002C372A">
      <w:pPr>
        <w:pStyle w:val="affd"/>
        <w:spacing w:line="360" w:lineRule="auto"/>
        <w:ind w:firstLine="420"/>
        <w:rPr>
          <w:rFonts w:ascii="Arial" w:hAnsi="Arial" w:cs="Arial"/>
        </w:rPr>
      </w:pPr>
      <w:r w:rsidRPr="000D3C71">
        <w:rPr>
          <w:rFonts w:ascii="Arial" w:hAnsi="Arial" w:cs="Arial"/>
          <w:lang w:val="en"/>
        </w:rPr>
        <w:t>Fax: 010-63136700</w:t>
      </w:r>
    </w:p>
    <w:p w14:paraId="1BA97CB8" w14:textId="77777777" w:rsidR="0017634C" w:rsidRPr="000D3C71" w:rsidRDefault="00953439" w:rsidP="00B913E0">
      <w:pPr>
        <w:spacing w:line="360" w:lineRule="auto"/>
        <w:ind w:firstLineChars="200" w:firstLine="420"/>
        <w:rPr>
          <w:rFonts w:ascii="Arial" w:hAnsi="Arial" w:cs="Arial"/>
        </w:rPr>
      </w:pPr>
      <w:r w:rsidRPr="000D3C71">
        <w:rPr>
          <w:rFonts w:ascii="Arial" w:hAnsi="Arial" w:cs="Arial"/>
          <w:lang w:val="en"/>
        </w:rPr>
        <w:t>China Asset Management Co., Ltd. has a registered capital of RMB238 million. The company's ownership structure is as follows:</w:t>
      </w:r>
    </w:p>
    <w:tbl>
      <w:tblPr>
        <w:tblW w:w="0" w:type="auto"/>
        <w:jc w:val="center"/>
        <w:tblBorders>
          <w:top w:val="single" w:sz="12" w:space="0" w:color="auto"/>
          <w:bottom w:val="single" w:sz="12" w:space="0" w:color="auto"/>
          <w:insideH w:val="dashSmallGap" w:sz="4" w:space="0" w:color="auto"/>
          <w:insideV w:val="dashSmallGap" w:sz="4" w:space="0" w:color="auto"/>
        </w:tblBorders>
        <w:tblLook w:val="0000" w:firstRow="0" w:lastRow="0" w:firstColumn="0" w:lastColumn="0" w:noHBand="0" w:noVBand="0"/>
      </w:tblPr>
      <w:tblGrid>
        <w:gridCol w:w="4395"/>
        <w:gridCol w:w="1994"/>
      </w:tblGrid>
      <w:tr w:rsidR="00824725" w:rsidRPr="000D3C71" w14:paraId="3FF0AB43" w14:textId="77777777" w:rsidTr="0053591E">
        <w:trPr>
          <w:jc w:val="center"/>
        </w:trPr>
        <w:tc>
          <w:tcPr>
            <w:tcW w:w="4395" w:type="dxa"/>
            <w:tcBorders>
              <w:top w:val="single" w:sz="12" w:space="0" w:color="auto"/>
              <w:bottom w:val="single" w:sz="12" w:space="0" w:color="auto"/>
            </w:tcBorders>
          </w:tcPr>
          <w:p w14:paraId="50225BE9" w14:textId="77777777" w:rsidR="0017634C" w:rsidRPr="000D3C71" w:rsidRDefault="00953439" w:rsidP="00121D9E">
            <w:pPr>
              <w:spacing w:line="360" w:lineRule="auto"/>
              <w:jc w:val="center"/>
              <w:rPr>
                <w:rFonts w:ascii="Arial" w:hAnsi="Arial" w:cs="Arial"/>
                <w:b/>
                <w:bCs/>
                <w:szCs w:val="24"/>
              </w:rPr>
            </w:pPr>
            <w:r w:rsidRPr="000D3C71">
              <w:rPr>
                <w:rFonts w:ascii="Arial" w:hAnsi="Arial" w:cs="Arial"/>
                <w:b/>
                <w:bCs/>
                <w:szCs w:val="24"/>
                <w:lang w:val="en"/>
              </w:rPr>
              <w:t>Shareholder</w:t>
            </w:r>
          </w:p>
        </w:tc>
        <w:tc>
          <w:tcPr>
            <w:tcW w:w="1994" w:type="dxa"/>
            <w:tcBorders>
              <w:top w:val="single" w:sz="12" w:space="0" w:color="auto"/>
              <w:bottom w:val="single" w:sz="12" w:space="0" w:color="auto"/>
            </w:tcBorders>
          </w:tcPr>
          <w:p w14:paraId="512CD4E8" w14:textId="77777777" w:rsidR="0017634C" w:rsidRPr="000D3C71" w:rsidRDefault="00953439" w:rsidP="00121D9E">
            <w:pPr>
              <w:spacing w:line="360" w:lineRule="auto"/>
              <w:jc w:val="center"/>
              <w:rPr>
                <w:rFonts w:ascii="Arial" w:hAnsi="Arial" w:cs="Arial"/>
                <w:b/>
                <w:bCs/>
                <w:szCs w:val="24"/>
              </w:rPr>
            </w:pPr>
            <w:r w:rsidRPr="000D3C71">
              <w:rPr>
                <w:rFonts w:ascii="Arial" w:hAnsi="Arial" w:cs="Arial"/>
                <w:b/>
                <w:bCs/>
                <w:szCs w:val="24"/>
                <w:lang w:val="en"/>
              </w:rPr>
              <w:t>Shareholding Percentage</w:t>
            </w:r>
          </w:p>
        </w:tc>
      </w:tr>
      <w:tr w:rsidR="00824725" w:rsidRPr="000D3C71" w14:paraId="3A73D6F2" w14:textId="77777777" w:rsidTr="0053591E">
        <w:trPr>
          <w:jc w:val="center"/>
        </w:trPr>
        <w:tc>
          <w:tcPr>
            <w:tcW w:w="4395" w:type="dxa"/>
          </w:tcPr>
          <w:p w14:paraId="0EE70129" w14:textId="77777777" w:rsidR="0017634C" w:rsidRPr="000D3C71" w:rsidRDefault="00953439" w:rsidP="00121D9E">
            <w:pPr>
              <w:rPr>
                <w:rFonts w:ascii="Arial" w:hAnsi="Arial" w:cs="Arial"/>
                <w:szCs w:val="24"/>
              </w:rPr>
            </w:pPr>
            <w:r w:rsidRPr="000D3C71">
              <w:rPr>
                <w:rFonts w:ascii="Arial" w:hAnsi="Arial" w:cs="Arial"/>
                <w:szCs w:val="24"/>
                <w:lang w:val="en"/>
              </w:rPr>
              <w:t>CITIC Securities Co., Ltd.</w:t>
            </w:r>
          </w:p>
        </w:tc>
        <w:tc>
          <w:tcPr>
            <w:tcW w:w="1994" w:type="dxa"/>
          </w:tcPr>
          <w:p w14:paraId="4F2430E0" w14:textId="77777777" w:rsidR="0017634C" w:rsidRPr="000D3C71" w:rsidRDefault="00953439" w:rsidP="00121D9E">
            <w:pPr>
              <w:jc w:val="center"/>
              <w:rPr>
                <w:rFonts w:ascii="Arial" w:hAnsi="Arial" w:cs="Arial"/>
                <w:szCs w:val="24"/>
              </w:rPr>
            </w:pPr>
            <w:r w:rsidRPr="000D3C71">
              <w:rPr>
                <w:rFonts w:ascii="Arial" w:hAnsi="Arial" w:cs="Arial"/>
                <w:szCs w:val="24"/>
                <w:lang w:val="en"/>
              </w:rPr>
              <w:t>62.2%</w:t>
            </w:r>
          </w:p>
        </w:tc>
      </w:tr>
      <w:tr w:rsidR="00824725" w:rsidRPr="000D3C71" w14:paraId="040AA01F" w14:textId="77777777" w:rsidTr="0053591E">
        <w:trPr>
          <w:jc w:val="center"/>
        </w:trPr>
        <w:tc>
          <w:tcPr>
            <w:tcW w:w="4395" w:type="dxa"/>
          </w:tcPr>
          <w:p w14:paraId="0909C607" w14:textId="77777777" w:rsidR="0017634C" w:rsidRPr="000D3C71" w:rsidRDefault="00953439" w:rsidP="00121D9E">
            <w:pPr>
              <w:rPr>
                <w:rFonts w:ascii="Arial" w:hAnsi="Arial" w:cs="Arial"/>
              </w:rPr>
            </w:pPr>
            <w:r w:rsidRPr="000D3C71">
              <w:rPr>
                <w:rFonts w:ascii="Arial" w:hAnsi="Arial" w:cs="Arial"/>
                <w:lang w:val="en"/>
              </w:rPr>
              <w:t>MACKENZIE FINANCIAL CORPORATION</w:t>
            </w:r>
          </w:p>
        </w:tc>
        <w:tc>
          <w:tcPr>
            <w:tcW w:w="1994" w:type="dxa"/>
          </w:tcPr>
          <w:p w14:paraId="56FEB24A" w14:textId="77777777" w:rsidR="0017634C" w:rsidRPr="000D3C71" w:rsidRDefault="00953439" w:rsidP="00121D9E">
            <w:pPr>
              <w:jc w:val="center"/>
              <w:rPr>
                <w:rFonts w:ascii="Arial" w:hAnsi="Arial" w:cs="Arial"/>
                <w:bCs/>
              </w:rPr>
            </w:pPr>
            <w:r w:rsidRPr="000D3C71">
              <w:rPr>
                <w:rFonts w:ascii="Arial" w:hAnsi="Arial" w:cs="Arial"/>
                <w:lang w:val="en"/>
              </w:rPr>
              <w:t>27.8%</w:t>
            </w:r>
          </w:p>
        </w:tc>
      </w:tr>
      <w:tr w:rsidR="00824725" w:rsidRPr="000D3C71" w14:paraId="533457D0" w14:textId="77777777" w:rsidTr="0053591E">
        <w:trPr>
          <w:jc w:val="center"/>
        </w:trPr>
        <w:tc>
          <w:tcPr>
            <w:tcW w:w="4395" w:type="dxa"/>
          </w:tcPr>
          <w:p w14:paraId="26AD7392" w14:textId="77777777" w:rsidR="0017634C" w:rsidRPr="000D3C71" w:rsidRDefault="00953439" w:rsidP="00121D9E">
            <w:pPr>
              <w:rPr>
                <w:rFonts w:ascii="Arial" w:hAnsi="Arial" w:cs="Arial"/>
              </w:rPr>
            </w:pPr>
            <w:r w:rsidRPr="000D3C71">
              <w:rPr>
                <w:rFonts w:ascii="Arial" w:hAnsi="Arial" w:cs="Arial"/>
                <w:lang w:val="en"/>
              </w:rPr>
              <w:t>Tianjin Haipeng Technology Consulting Co., Ltd.</w:t>
            </w:r>
          </w:p>
        </w:tc>
        <w:tc>
          <w:tcPr>
            <w:tcW w:w="1994" w:type="dxa"/>
            <w:vAlign w:val="center"/>
          </w:tcPr>
          <w:p w14:paraId="67376541" w14:textId="77777777" w:rsidR="0017634C" w:rsidRPr="000D3C71" w:rsidRDefault="00953439" w:rsidP="00121D9E">
            <w:pPr>
              <w:jc w:val="center"/>
              <w:rPr>
                <w:rFonts w:ascii="Arial" w:hAnsi="Arial" w:cs="Arial"/>
                <w:bCs/>
              </w:rPr>
            </w:pPr>
            <w:r w:rsidRPr="000D3C71">
              <w:rPr>
                <w:rFonts w:ascii="Arial" w:hAnsi="Arial" w:cs="Arial"/>
                <w:lang w:val="en"/>
              </w:rPr>
              <w:t>10%</w:t>
            </w:r>
          </w:p>
        </w:tc>
      </w:tr>
      <w:tr w:rsidR="00824725" w:rsidRPr="000D3C71" w14:paraId="1A857F6F" w14:textId="77777777" w:rsidTr="0053591E">
        <w:trPr>
          <w:jc w:val="center"/>
        </w:trPr>
        <w:tc>
          <w:tcPr>
            <w:tcW w:w="4395" w:type="dxa"/>
          </w:tcPr>
          <w:p w14:paraId="1A19A14E" w14:textId="77777777" w:rsidR="0017634C" w:rsidRPr="000D3C71" w:rsidRDefault="00953439" w:rsidP="00121D9E">
            <w:pPr>
              <w:spacing w:line="360" w:lineRule="auto"/>
              <w:jc w:val="center"/>
              <w:rPr>
                <w:rFonts w:ascii="Arial" w:hAnsi="Arial" w:cs="Arial"/>
                <w:b/>
                <w:bCs/>
                <w:szCs w:val="24"/>
              </w:rPr>
            </w:pPr>
            <w:r w:rsidRPr="000D3C71">
              <w:rPr>
                <w:rFonts w:ascii="Arial" w:hAnsi="Arial" w:cs="Arial"/>
                <w:b/>
                <w:bCs/>
                <w:szCs w:val="24"/>
                <w:lang w:val="en"/>
              </w:rPr>
              <w:t>Total</w:t>
            </w:r>
          </w:p>
        </w:tc>
        <w:tc>
          <w:tcPr>
            <w:tcW w:w="1994" w:type="dxa"/>
          </w:tcPr>
          <w:p w14:paraId="644DDF89" w14:textId="77777777" w:rsidR="0017634C" w:rsidRPr="000D3C71" w:rsidRDefault="00953439" w:rsidP="00121D9E">
            <w:pPr>
              <w:spacing w:line="360" w:lineRule="auto"/>
              <w:jc w:val="center"/>
              <w:rPr>
                <w:rFonts w:ascii="Arial" w:hAnsi="Arial" w:cs="Arial"/>
                <w:b/>
                <w:bCs/>
                <w:szCs w:val="24"/>
              </w:rPr>
            </w:pPr>
            <w:r w:rsidRPr="000D3C71">
              <w:rPr>
                <w:rFonts w:ascii="Arial" w:hAnsi="Arial" w:cs="Arial"/>
                <w:b/>
                <w:bCs/>
                <w:szCs w:val="24"/>
                <w:lang w:val="en"/>
              </w:rPr>
              <w:t>100%</w:t>
            </w:r>
          </w:p>
        </w:tc>
      </w:tr>
    </w:tbl>
    <w:p w14:paraId="0E76980C" w14:textId="77777777" w:rsidR="0017634C" w:rsidRPr="000D3C71" w:rsidRDefault="00953439" w:rsidP="00EB1D58">
      <w:pPr>
        <w:spacing w:line="360" w:lineRule="auto"/>
        <w:ind w:firstLineChars="200" w:firstLine="420"/>
        <w:rPr>
          <w:rFonts w:ascii="Arial" w:hAnsi="Arial" w:cs="Arial"/>
        </w:rPr>
      </w:pPr>
      <w:r w:rsidRPr="000D3C71">
        <w:rPr>
          <w:rFonts w:ascii="Arial" w:hAnsi="Arial" w:cs="Arial"/>
          <w:lang w:val="en"/>
        </w:rPr>
        <w:t>(II) Information on Key Personnel</w:t>
      </w:r>
    </w:p>
    <w:p w14:paraId="76B3CC36" w14:textId="77777777" w:rsidR="00D62523" w:rsidRPr="000D3C71" w:rsidRDefault="00953439" w:rsidP="00116F2C">
      <w:pPr>
        <w:pStyle w:val="affd"/>
        <w:spacing w:line="360" w:lineRule="auto"/>
        <w:ind w:firstLineChars="200" w:firstLine="420"/>
        <w:rPr>
          <w:rFonts w:ascii="Arial" w:hAnsi="Arial" w:cs="Arial"/>
        </w:rPr>
      </w:pPr>
      <w:r w:rsidRPr="000D3C71">
        <w:rPr>
          <w:rFonts w:ascii="Arial" w:hAnsi="Arial" w:cs="Arial"/>
          <w:lang w:val="en"/>
        </w:rPr>
        <w:t>1. Basic Information on the Directors, Supervisors, Managers, and Other Senior Management of the Fund Manager</w:t>
      </w:r>
    </w:p>
    <w:p w14:paraId="6AAE3B3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ZHANG Youjun: Chairman and Secretary of the Party Committee, Master's degree. Mr. ZHANG currently serves as the Secretary of the Party Committee, Executive Director, and Chairman of CITIC Securities Co., Ltd. He is also an Assistant General Manager of CITIC Group, CITIC Limited, and CITIC Corporation Limited, and Vice Chairman of CITIC Financial Holdings. He previously served as General Manager of the Trading Department, Assistant Manager, and Deputy General Manager of CITIC Securities; a Director of CITIC Securities; General Manager of Changsheng Fund Management Co., Ltd.; General Manager of CITIC Securities; General Manager and Chairman at CSC Financial Co., Ltd.; Director of the Board of Directors Office at CITIC Group; a Director of Zhongzheng International; Chairman of CITIC Securities International and CLSA (i.e., CLSA B.V. and its subsidiaries); a Director of CLSA and Sailing Capital; and Chairman of Goldstone Investment and CITIC Securities Investment.</w:t>
      </w:r>
    </w:p>
    <w:p w14:paraId="3923644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J Luke Gregoire Gould: Director, Bachelor's degree. Mr. Gould is currently the President and Chief Executive Officer of Mackenzie Financial Corporation. He previously served as Executive Vice President and Chief Financial Officer of IGM Financial Inc., Chief Financial Officer of Mackenzie Investments, and Senior Vice President and Chief Financial Officer of Investors Group.</w:t>
      </w:r>
    </w:p>
    <w:p w14:paraId="1DCBF9A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LI Xing: Director, Master's degree. Mr. LI is currently an Executive Director at Primavera Capital Group, where he is responsible for the firm's investments in the financial services industry. He previously worked in the Investment Banking Division of Goldman Sachs (Beijing) and served as an Analyst and Investment Manager at Primavera Capital Group.</w:t>
      </w:r>
    </w:p>
    <w:p w14:paraId="3536268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SHI Benliang: Director, Master's degree, Certified Public Accountant. Mr. SHI currently serves as a Member of the Party Committee, a Member of the Executive Committee, Head of the Wealth Management Committee, and Administrative Head of the Strategic Clients Department at CITIC Securities Co., Ltd. He previously served as Accounting Supervisor for Asset Management Business, Co-Head, and Administrative Head of the Planning and Finance Department at CITIC Securities Co., Ltd., and as Head of Finance at CITIC Securities.</w:t>
      </w:r>
    </w:p>
    <w:p w14:paraId="7972051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XUE Jirui: Director, Doctorate. Mr. XUE is currently a Member of the Executive Committee at CITIC Securities Co., Ltd. He previously served as Manager of the Financial Product Development Group, an Analyst in the Research Department, Head of the Product Development Group for the Trading and Derivatives Business Line, Administrative Head of the Equity Derivatives Business Line, Administrative Head of the Securities Finance Business Line, and Administrative Head of the Equity Investment Department at CITIC Securities Co., Ltd.</w:t>
      </w:r>
    </w:p>
    <w:p w14:paraId="2639B4E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LI Yimei: Director and CEO, Master's degree. Ms. LI currently serves as the Deputy Secretary of the Party Committee at China Asset Management Co., Ltd. She also serves as Chairperson of China Asset Management (Hong Kong) Limited and Executive Director of ChinaAMC Equity Investment Fund Management (Beijing) Co., Ltd. She previously served as Executive Vice President, Chief Marketing Officer, Marketing Director, General Manager of the Sales Department, and concurrently as Administrative Head of the Data Center at China Asset Management Co., Ltd.; Executive Director and General Manager of Shanghai China Wealth Investment Management Co., Ltd.; concurrently as General Manager of ChinaAMC Equity Investment Fund Management (Beijing) Co., Ltd.; and a Director of E-Capital Transfer Co., Ltd.</w:t>
      </w:r>
    </w:p>
    <w:p w14:paraId="0EDD8CF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LIU Xiahui: Independent Director, Master's degree. Mr. LIU is currently a Level-II Research Scientist and doctoral supervisor at the Institute of Economics, Chinese Academy of Social Sciences, and a recipient of the State Council Special Allowance. He also serves as Chairman of the Economic Strategy Committee of the China Center for Strategic Studies, a Adjunct Professor at the Institute of Economic and Social Research of Shandong University, and an advisory expert to the Nanning Municipal Government in Guangxi. He previously worked in the General Division of the Department of Policies and Regulations at the Ministry of Human Resources and Social Security.</w:t>
      </w:r>
    </w:p>
    <w:p w14:paraId="64747B3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YIN Shaoping: Independent Director, Doctorate. Mr. YIN is currently an Associate Professor and master's supervisor at the Renmin University of China Law School. He previously served as a Judge and Senior Judge in the Third Civil Tribunal of the Supreme People's Court; Vice President and Member of the Adjudication Committee of the Zhuzhou Intermediate People's Court in Hunan Province; an independent director of Beijing Tongrentang Co., Ltd. and Hebei Taihang Cement Co., Ltd.; Deputy Head of the Xixiangtang District Government in Nanning, Guangxi Zhuang Autonomous Region; and a part-time lawyer at Beijing Dishi Law Firm.</w:t>
      </w:r>
    </w:p>
    <w:p w14:paraId="63A72D3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YI Zhihong: Independent Director, Doctorate. Ms. YI is a Professor and doctoral supervisor, with primary research interests in financial management and capital markets. She is a recipient of the State Council Special Allowance. She previously served as Vice President of Renmin University of China, Dean of the Renmin Business School, and Dean of the Sino-French Institute of Renmin University of China. She also serves as the convener of the 7th and 8th Business Administration Disciplinary Review Group of the State Council Academic Degrees Committee, Vice Chairperson of the 5th and 6th National MBA Education Steering Committee, Vice Chairperson of the Ministry of Education's Steering Committee for Business Administration Programs, and a member of the International Advisory Board of IE University in Spain. She formerly concurrently served as Vice President of the Financial Accounting Society of China (FASC), a member of the Board of Trustees of the European Foundation for Management Development (EFMD), and a member of the Initial Accreditation Committee of the Association to Advance Collegiate Schools of Business (AACSB).</w:t>
      </w:r>
    </w:p>
    <w:p w14:paraId="1F7E811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Vivi Hou: Chairperson of the Board of Supervisors, Bachelor's degree. Ms. Hou is currently the President and Chief Executive Officer of Power Pacific Corporation Ltd. She also serves as a Director and a member of the Investment Management Committee of Power Pacific Investment Management, a subsidiary of Power Corporation of Canada, and a member of the International Board of Directors of the Canada China Business Council. She previously served as a member of the Global Management Committee, Chief Business Development Officer, and Head of China Strategy at Harvest Global Investments (HGI).</w:t>
      </w:r>
    </w:p>
    <w:p w14:paraId="532ABDE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XI Zhiying: Supervisor, Master's degree, Certified Public Accountant. Ms. XI is currently the Administrative Head of the Planning and Finance Department at CITIC Securities Co., Ltd. She previously served as Statistics Supervisor, General Ledger Accounting Supervisor, Deputy Head, and Acting Deputy Head in the Planning and Finance Department at CITIC Securities Co., Ltd.</w:t>
      </w:r>
    </w:p>
    <w:p w14:paraId="29C3EE0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TANG Shichao: Supervisor, Doctorate. Mr. TANG is currently the Deputy Head of the Risk Management Department at CITIC Securities Co., Ltd. He was previously engaged in risk analysis, risk measurement, and market and liquidity risk management within the Risk Management Department at CITIC Securities Co., Ltd.</w:t>
      </w:r>
    </w:p>
    <w:p w14:paraId="5C8F7BB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NING Chenxin: Supervisor, Doctorate, Senior Editor. Mr. NING is currently the Executive General Manager and Administrative Head of the General Office and Secretary to the Board of Directors at China Asset Management Co., Ltd. He also serves as a Director of E-Capital Transfer Co., Ltd. He previously served as a reporter, editor, Director of the General Office, and Deputy Editor-in-Chief at China Securities Journal, and as a lecturer at China University of Political Science and Law.</w:t>
      </w:r>
    </w:p>
    <w:p w14:paraId="0789773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CHEN Qian: Supervisor, Master's degree. Ms. CHEN is currently the Executive General Manager and Administrative Head of the Marketing Department, and concurrently the Administrative Head of the Client Operations and Service Department at China Asset Management Co., Ltd. She previously served as a business manager at China Investment Bank, a senior business manager at Beijing Securities Co., Ltd., and Deputy General Manager of the Beijing Branch and Deputy General Manager of the Marketing Department at China Asset Management Co., Ltd.</w:t>
      </w:r>
    </w:p>
    <w:p w14:paraId="3FAF561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ZHU Wei: Supervisor, Master's degree. Mr. ZHU is currently the Executive General Manager and Administrative Head of the Fund Operation Department at China Asset Management Co., Ltd. He previously served as the Deputy Head of the Fund Operation Department at China Asset Management Co., Ltd.</w:t>
      </w:r>
    </w:p>
    <w:p w14:paraId="44878E4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LIU Yi: Executive Vice President, Master's degree. Mr. LIU is currently a Member of the Party Committee at China Asset Management Co., Ltd. He previously served as a Deputy Section Chief and Section Chief in the Planning and Funding Department at the People's Bank of China head office; Acting Deputy Director of the Comprehensive Information Division in the Information and Computer Department at the Agricultural Development Bank of China head office; a Supervisor, Director of the Party Affairs Office, and Chief Pension Business Officer at China Asset Management Co., Ltd.; and Executive Director and General Manager of China Capital Management Co., Ltd.</w:t>
      </w:r>
    </w:p>
    <w:p w14:paraId="1F69D0F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YANG Kun: Executive Vice President and Chief Investment Officer, Master's degree. Mr. YANG is currently a Member of the Party Committee at China Asset Management Co., Ltd. He previously served as a manager in the Finance Department of China Foreign Economy and Trade Trust Investment Co., Ltd.; an Assistant Portfolio Manager at Baoying Fund Management Co., Ltd.; a manager in the Investment Department of Yimin Asset Management Co., Ltd.; and Deputy General Manager of the Equity Investment Department at China Asset Management Co., Ltd.</w:t>
      </w:r>
    </w:p>
    <w:p w14:paraId="3981B2A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ZHENG Yu: Executive Vice President, Master's degree. Ms. ZHENG currently serves as the Deputy Secretary of the Party Committee and a Portfolio Manager at China Asset Management Co., Ltd. She previously served as a Senior Analyst at China Securities; a Senior Analyst and Investment Manager at Da Cheng Fund Management; Director of the Equity Investment Department at the former CITIC Fund Management; and Assistant General Manager and Secretary of the Discipline Inspection Committee at China Asset Management Co., Ltd.</w:t>
      </w:r>
    </w:p>
    <w:p w14:paraId="3FAE6E6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SUN Bin: Executive Vice President, Master's degree. Mr. SUN currently serves as a Member of the Party Committee and an Investment Manager at China Asset Management Co., Ltd. He previously served as an Industry Analyst, Assistant Portfolio Manager, Portfolio Manager, and Assistant General Manager at China Asset Management Co., Ltd.</w:t>
      </w:r>
    </w:p>
    <w:p w14:paraId="21CD594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ZHANG Degen: Executive Vice President, concurrently General Manager of the Beijing Branch and General Manager of the Guangzhou Branch, Master's degree. Mr. ZHANG previously worked at New Economics magazine and China Great Wall Securities. He has served as Assistant General Manager, Deputy General Manager, and General Manager of the Shenzhen Branch at China Asset Management Co., Ltd.; General Manager of the Guangzhou Branch; Deputy General Manager of Shanghai China Wealth Investment Management Co., Ltd.; and Assistant General Manager and concurrently Administrative Head of the Research and Development Department at China Asset Management Co., Ltd.</w:t>
      </w:r>
    </w:p>
    <w:p w14:paraId="5DE7C58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LI Bin: Chief Compliance Officer, Master's degree. Ms. LI currently serves as a Member of the Party Committee, Secretary of the Discipline Inspection Committee, and Administrative Head of the Legal Department at China Asset Management Co., Ltd. She previously worked at CITIC Securities Co., Ltd. and the former CITIC Fund Management Co., Ltd. She has served as Assistant General Manager of the Supervision and Audit Department, Deputy General Manager and Co-Head of the Legal Supervision Department, and Administrative Head of the Compliance Department at China Asset Management Co., Ltd.</w:t>
      </w:r>
    </w:p>
    <w:p w14:paraId="1F927F4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SUN Liqiang: Chief Financial Officer, Master's degree. Mr. SUN is currently the Administrative Head of the Finance Department at China Asset Management Co., Ltd., a Supervisor at China Capital Management Co., Ltd., a Supervisor at Shanghai China Wealth Investment Management Co., Ltd., and a Director of China Asset Management (Hong Kong) Limited. He previously worked in the Planning and Finance Department of Shenzhen Airlines Co., Ltd. and served as Deputy Head of the Fund Operation Department and Deputy Head of the Finance Department at China Asset Management Co., Ltd.</w:t>
      </w:r>
    </w:p>
    <w:p w14:paraId="5228899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GUI Yong: Chief Information Officer, Bachelor's degree. Mr. GUI also serves as the Administrative Head of the Financial Technology Department at China Asset Management Co., Ltd. He previously worked at Shenzhen Great Wall Fiber Optic Network Co., Ltd. and Shenzhen Zhongda Investment Management Co., Ltd. He has served as Head of the Information Technology Department at CITIC Fund Management Co., Ltd., and as Assistant General Manager, Deputy General Manager, and Administrative Head of the Information Technology Department at China Asset Management Co., Ltd.</w:t>
      </w:r>
    </w:p>
    <w:p w14:paraId="78339A21" w14:textId="77777777" w:rsidR="0058308F" w:rsidRPr="000D3C71" w:rsidRDefault="00953439" w:rsidP="002C372A">
      <w:pPr>
        <w:pStyle w:val="affd"/>
        <w:autoSpaceDE w:val="0"/>
        <w:autoSpaceDN w:val="0"/>
        <w:adjustRightInd w:val="0"/>
        <w:spacing w:line="360" w:lineRule="auto"/>
        <w:ind w:firstLine="420"/>
        <w:rPr>
          <w:rFonts w:ascii="Arial" w:hAnsi="Arial" w:cs="Arial"/>
        </w:rPr>
      </w:pPr>
      <w:r w:rsidRPr="000D3C71">
        <w:rPr>
          <w:rFonts w:ascii="Arial" w:hAnsi="Arial" w:cs="Arial"/>
          <w:lang w:val="en"/>
        </w:rPr>
        <w:t>2. Portfolio Manager</w:t>
      </w:r>
    </w:p>
    <w:p w14:paraId="6EACE53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Mr. ZHAO Zongting holds a master's degree. He was previously an Assistant Portfolio Manager in the Index Investment Department of Harvest Fund Management Co., Ltd., and a Portfolio Manager of Harvest Global Investments Limited. Mr. ZHAO joined China Asset Management Co., Ltd. in November 2016 and has served as a Product Manager in the Research and Development Department and a Researcher in the Quantitative Investment Department. As a Portfolio Manager, he has previously managed several funds, including: the ChinaAMC CSI Sichuan SOEs Reform Index Exchange Traded Fund (from December 8, 2020 to January 13, 2022), the ChinaAMC CSI Sichuan SOEs Reform Index Exchange Traded Fund Feeder Fund (from December 8, 2020 to January 13, 2022), the ChinaAMC CSI Zhejiang SOEs Innovation Index Exchange Traded Fund (from December 8, 2020 to January 13, 2022), the ChinaAMC CSI Zhejiang SOEs Innovation Index Exchange Traded Fund Feeder Fund (from December 8, 2020 to January 13, 2022), the SSE Consumer Staples Exchange Traded Fund (from February 12, 2020 to August 22, 2022), the ChinaAMC CSI Big Data Industry Index Exchange Traded Fund (from February 9, 2021 to August 22, 2022), the ChinaAMC CSI New Energy Index Exchange Traded Fund (from March 9, 2021 to August 22, 2022), the ChinaAMC CSI New Materials Index Exchange Traded Fund (from August 4, 2021 to March 27, 2023), the ChinaAMC CSI Petrochemical Industry Stimulus Index Exchange Traded Fund (from December 2, 2021 to March 27, 2023), the ChinaAMC CNI Consumer Electronics Index Exchange Traded Fund (from August 12, 2021 to June 29, 2023), the ChinaAMC CSI Robot Index Exchange Traded Fund (from December 17, 2021 to June 29, 2023), the ChinaAMC CSI Non-ferrous Metal Sub-industry Index Exchange Traded Fund (from June 9, 2021 to December 28, 2023), and the ChinaAMC CSI Non-ferrous Metal Sub-industry Index Exchange Traded Fund Feeder Fund (from October 18, 2022 to December 28, 2023). Currently, he serves as the Portfolio Manager of the following funds: the ChinaAMC CSI 300 Exchange Traded Fund (since April 17, 2017), the ChinaAMC CSI 300 Exchange Traded Fund Feeder Fund (since April 17, 2017), the ChinaAMC Nomura Nikkei 225 Exchange Traded Fund (QDII) (since June 12, 2019), the ChinaAMC CNI Semiconductor Chips Index Exchange Traded Fund (since January 20, 2020), the ChinaAMC CNI Semiconductor Chips Index Exchange Traded Fund Feeder Fund (since June 2, 2020), the ChinaAMC NASDAQ 100 Exchange Traded Fund (QDII) (since October 22, 2020), the ChinaAMC CSI 1000 Index Exchange Traded Fund (since March 18, 2021), the ChinaAMC CSI Cloud Computing &amp; Big Data Index Exchange Traded Fund (since August 24, 2021), the ChinaAMC CSI Cultural Recreation &amp; Media Index Exchange Traded Fund (since September 9, 2021), the ChinaAMC HSHKBIO Exchange Traded Fund (QDII) (since September 29, 2021), the ChinaAMC CSI 300 ESG Benchmark Exchange Traded Fund (since February 24, 2022), the ChinaAMC NASDAQ 100 Exchange Traded Fund Feeder Fund (QDII) (since April 14, 2022), the ChinaAMC S&amp;P 500 Index Exchange Traded Fund (QDII) (since October 12, 2022), the ChinaAMC HSHKBIO Exchange Traded Fund Feeder Fund (QDII) (since November 22, 2022), the ChinaAMC S&amp;P 500 Index Exchange Traded Fund Feeder Fund (QDII) (since May 10, 2023), the ChinaAMC CSI Smart Selected 300 Value Stable Index Exchange Traded Fund (since July 31, 2023), the ChinaAMC CSI Smart Selected 300 Growth Innovation Index Exchange Traded Fund (since September 5, 2023), the ChinaAMC CSI Smart Selected 300 Value Stable Index Exchange Traded Fund Feeder Fund (since November 8, 2023), the ChinaAMC CSI Cloud Computing &amp; Big Data Index Exchange Traded Fund Feeder Fund (since November 14, 2023), the ChinaAMC CSI Smart Selected 300 Growth Innovation Index Exchange Traded Fund Feeder Fund (since March 5, 2024), and the ChinaAMC CSI 300 ESG Benchmark Exchange Traded Fund Feeder Fund (since April 9, 2024).</w:t>
      </w:r>
    </w:p>
    <w:p w14:paraId="79E33BB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Former Portfolio Manager: Mr. ZHANG Hongtao served as the Fund's manager from December 25, 2012, to November 25, 2024.</w:t>
      </w:r>
    </w:p>
    <w:p w14:paraId="1D778EC4" w14:textId="77777777" w:rsidR="009D7A79" w:rsidRPr="000D3C71" w:rsidRDefault="00953439" w:rsidP="009D7A79">
      <w:pPr>
        <w:pStyle w:val="affd"/>
        <w:autoSpaceDE w:val="0"/>
        <w:autoSpaceDN w:val="0"/>
        <w:adjustRightInd w:val="0"/>
        <w:spacing w:line="360" w:lineRule="auto"/>
        <w:ind w:firstLine="420"/>
        <w:rPr>
          <w:rFonts w:ascii="Arial" w:hAnsi="Arial" w:cs="Arial"/>
          <w:szCs w:val="21"/>
        </w:rPr>
      </w:pPr>
      <w:r w:rsidRPr="000D3C71">
        <w:rPr>
          <w:rFonts w:ascii="Arial" w:hAnsi="Arial" w:cs="Arial"/>
          <w:szCs w:val="21"/>
          <w:lang w:val="en"/>
        </w:rPr>
        <w:t>3. Quantitative Investment Decision Committee</w:t>
      </w:r>
    </w:p>
    <w:p w14:paraId="0EACA53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Chair: Mr. XU Meng, Administrative Head of the Quantitative Investment Department at China Asset Management Co., Ltd.; Portfolio Manager.</w:t>
      </w:r>
    </w:p>
    <w:p w14:paraId="104BB2D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Members: Mr. YANG Kun, Executive Vice President and Chief Investment Officer at China Asset Management Co., Ltd.; Portfolio Manager.</w:t>
      </w:r>
    </w:p>
    <w:p w14:paraId="43186C8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Mr. SUN Meng, Senior Vice President of the Quantitative Investment Department at China Asset Management Co., Ltd.; Portfolio Manager.</w:t>
      </w:r>
    </w:p>
    <w:p w14:paraId="1B080DA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Ms. RONG Ying, Deputy Head of the Quantitative Investment Department at China Asset Management Co., Ltd.; Portfolio Manager.</w:t>
      </w:r>
    </w:p>
    <w:p w14:paraId="1F0153C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Mr. YUAN Yingjie, Director of the Quantitative Investment Department at China Asset Management Co., Ltd.; Portfolio Manager and Investment Manager.</w:t>
      </w:r>
    </w:p>
    <w:p w14:paraId="10F7E06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Mr. ZHAO Zongting, Director of the Quantitative Investment Department at China Asset Management Co., Ltd.; Portfolio Manager.</w:t>
      </w:r>
    </w:p>
    <w:p w14:paraId="10685A23" w14:textId="77777777" w:rsidR="0058308F" w:rsidRPr="000D3C71" w:rsidRDefault="00953439" w:rsidP="004828B2">
      <w:pPr>
        <w:pStyle w:val="affd"/>
        <w:autoSpaceDE w:val="0"/>
        <w:autoSpaceDN w:val="0"/>
        <w:adjustRightInd w:val="0"/>
        <w:spacing w:line="360" w:lineRule="auto"/>
        <w:ind w:firstLine="420"/>
        <w:rPr>
          <w:rFonts w:ascii="Arial" w:hAnsi="Arial" w:cs="Arial"/>
          <w:szCs w:val="21"/>
        </w:rPr>
      </w:pPr>
      <w:r w:rsidRPr="000D3C71">
        <w:rPr>
          <w:rFonts w:ascii="Arial" w:hAnsi="Arial" w:cs="Arial"/>
          <w:szCs w:val="21"/>
          <w:lang w:val="en"/>
        </w:rPr>
        <w:t>4. There is no close kinship between any of the individuals listed above.</w:t>
      </w:r>
    </w:p>
    <w:p w14:paraId="0E56A338" w14:textId="77777777" w:rsidR="0058308F" w:rsidRPr="000D3C71" w:rsidRDefault="00953439" w:rsidP="002C372A">
      <w:pPr>
        <w:pStyle w:val="affd"/>
        <w:autoSpaceDE w:val="0"/>
        <w:autoSpaceDN w:val="0"/>
        <w:adjustRightInd w:val="0"/>
        <w:spacing w:line="360" w:lineRule="auto"/>
        <w:ind w:firstLine="420"/>
        <w:rPr>
          <w:rFonts w:ascii="Arial" w:hAnsi="Arial" w:cs="Arial"/>
          <w:szCs w:val="21"/>
        </w:rPr>
      </w:pPr>
      <w:r w:rsidRPr="000D3C71">
        <w:rPr>
          <w:rFonts w:ascii="Arial" w:hAnsi="Arial" w:cs="Arial"/>
          <w:szCs w:val="21"/>
          <w:lang w:val="en"/>
        </w:rPr>
        <w:t xml:space="preserve">(III) Duties and Responsibilities of the Fund Manager </w:t>
      </w:r>
    </w:p>
    <w:p w14:paraId="2CC05F28"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 xml:space="preserve">1. To carry out the offering of the Fund according to the laws, and to undertake or entrust other institutions which are approved by the securities regulatory authority under the State Council to undertake the offer, creation, redemption and registration of Fund units. </w:t>
      </w:r>
    </w:p>
    <w:p w14:paraId="6B0F43C4" w14:textId="77777777" w:rsidR="0058308F" w:rsidRPr="000D3C71" w:rsidRDefault="00953439" w:rsidP="002C372A">
      <w:pPr>
        <w:pStyle w:val="affd"/>
        <w:spacing w:line="360" w:lineRule="auto"/>
        <w:ind w:firstLine="420"/>
        <w:rPr>
          <w:rFonts w:ascii="Arial" w:hAnsi="Arial" w:cs="Arial"/>
          <w:szCs w:val="21"/>
        </w:rPr>
      </w:pPr>
      <w:r w:rsidRPr="000D3C71">
        <w:rPr>
          <w:rFonts w:ascii="Arial" w:hAnsi="Arial" w:cs="Arial"/>
          <w:szCs w:val="21"/>
          <w:lang w:val="en"/>
        </w:rPr>
        <w:t xml:space="preserve">2. To compete the filing procedures for the Fund. </w:t>
      </w:r>
    </w:p>
    <w:p w14:paraId="43A7A5EC" w14:textId="77777777" w:rsidR="0058308F" w:rsidRPr="000D3C71" w:rsidRDefault="00953439" w:rsidP="002C372A">
      <w:pPr>
        <w:pStyle w:val="affd"/>
        <w:spacing w:line="360" w:lineRule="auto"/>
        <w:ind w:firstLine="420"/>
        <w:rPr>
          <w:rFonts w:ascii="Arial" w:hAnsi="Arial" w:cs="Arial"/>
          <w:szCs w:val="21"/>
        </w:rPr>
      </w:pPr>
      <w:r w:rsidRPr="000D3C71">
        <w:rPr>
          <w:rFonts w:ascii="Arial" w:hAnsi="Arial" w:cs="Arial"/>
          <w:szCs w:val="21"/>
          <w:lang w:val="en"/>
        </w:rPr>
        <w:t>3. To manage and account for the property of each fund under its management separately and to conduct securities investments.</w:t>
      </w:r>
    </w:p>
    <w:p w14:paraId="119521FC" w14:textId="77777777" w:rsidR="0058308F" w:rsidRPr="000D3C71" w:rsidRDefault="00953439" w:rsidP="002C372A">
      <w:pPr>
        <w:pStyle w:val="affd"/>
        <w:spacing w:line="360" w:lineRule="auto"/>
        <w:ind w:firstLine="420"/>
        <w:rPr>
          <w:rFonts w:ascii="Arial" w:hAnsi="Arial" w:cs="Arial"/>
          <w:szCs w:val="21"/>
        </w:rPr>
      </w:pPr>
      <w:r w:rsidRPr="000D3C71">
        <w:rPr>
          <w:rFonts w:ascii="Arial" w:hAnsi="Arial" w:cs="Arial"/>
          <w:szCs w:val="21"/>
          <w:lang w:val="en"/>
        </w:rPr>
        <w:t>4. To determine the Fund Income distribution plan in accordance with the provisions of the Fund Contract and to distribute income to Fund Unitholders in a timely manner.</w:t>
      </w:r>
    </w:p>
    <w:p w14:paraId="21456C75" w14:textId="77777777" w:rsidR="0058308F" w:rsidRPr="000D3C71" w:rsidRDefault="00953439" w:rsidP="002C372A">
      <w:pPr>
        <w:pStyle w:val="affd"/>
        <w:spacing w:line="360" w:lineRule="auto"/>
        <w:ind w:firstLine="420"/>
        <w:rPr>
          <w:rFonts w:ascii="Arial" w:hAnsi="Arial" w:cs="Arial"/>
          <w:szCs w:val="21"/>
        </w:rPr>
      </w:pPr>
      <w:r w:rsidRPr="000D3C71">
        <w:rPr>
          <w:rFonts w:ascii="Arial" w:hAnsi="Arial" w:cs="Arial"/>
          <w:szCs w:val="21"/>
          <w:lang w:val="en"/>
        </w:rPr>
        <w:t xml:space="preserve">5. To carry out accounting and prepare financial statements in respect of the Fund. </w:t>
      </w:r>
    </w:p>
    <w:p w14:paraId="7F5E88E9" w14:textId="77777777" w:rsidR="0058308F" w:rsidRPr="000D3C71" w:rsidRDefault="00953439" w:rsidP="002C372A">
      <w:pPr>
        <w:pStyle w:val="affd"/>
        <w:spacing w:line="360" w:lineRule="auto"/>
        <w:ind w:firstLine="420"/>
        <w:rPr>
          <w:rFonts w:ascii="Arial" w:hAnsi="Arial" w:cs="Arial"/>
          <w:szCs w:val="21"/>
        </w:rPr>
      </w:pPr>
      <w:r w:rsidRPr="000D3C71">
        <w:rPr>
          <w:rFonts w:ascii="Arial" w:hAnsi="Arial" w:cs="Arial"/>
          <w:szCs w:val="21"/>
          <w:lang w:val="en"/>
        </w:rPr>
        <w:t xml:space="preserve">6. To prepare interim and annual reports of the Fund. </w:t>
      </w:r>
    </w:p>
    <w:p w14:paraId="68B74CA0" w14:textId="77777777" w:rsidR="0058308F" w:rsidRPr="000D3C71" w:rsidRDefault="00953439" w:rsidP="002C372A">
      <w:pPr>
        <w:pStyle w:val="affd"/>
        <w:spacing w:line="360" w:lineRule="auto"/>
        <w:ind w:firstLine="420"/>
        <w:rPr>
          <w:rFonts w:ascii="Arial" w:hAnsi="Arial" w:cs="Arial"/>
          <w:szCs w:val="21"/>
        </w:rPr>
      </w:pPr>
      <w:r w:rsidRPr="000D3C71">
        <w:rPr>
          <w:rFonts w:ascii="Arial" w:hAnsi="Arial" w:cs="Arial"/>
          <w:szCs w:val="21"/>
          <w:lang w:val="en"/>
        </w:rPr>
        <w:t xml:space="preserve">7. To calculate and announce the Net Asset Value of the Fund, and to determine the considerations for creation and redemption. </w:t>
      </w:r>
    </w:p>
    <w:p w14:paraId="5B038B3D" w14:textId="77777777" w:rsidR="0058308F" w:rsidRPr="000D3C71" w:rsidRDefault="00953439" w:rsidP="002C372A">
      <w:pPr>
        <w:pStyle w:val="affd"/>
        <w:spacing w:line="360" w:lineRule="auto"/>
        <w:ind w:firstLine="420"/>
        <w:rPr>
          <w:rFonts w:ascii="Arial" w:hAnsi="Arial" w:cs="Arial"/>
          <w:szCs w:val="21"/>
        </w:rPr>
      </w:pPr>
      <w:r w:rsidRPr="000D3C71">
        <w:rPr>
          <w:rFonts w:ascii="Arial" w:hAnsi="Arial" w:cs="Arial"/>
          <w:szCs w:val="21"/>
          <w:lang w:val="en"/>
        </w:rPr>
        <w:t xml:space="preserve">8. To carry out information disclosures related to the Fund’s property management activities. </w:t>
      </w:r>
    </w:p>
    <w:p w14:paraId="32017954" w14:textId="77777777" w:rsidR="0058308F" w:rsidRPr="000D3C71" w:rsidRDefault="00953439" w:rsidP="002C372A">
      <w:pPr>
        <w:pStyle w:val="affd"/>
        <w:spacing w:line="360" w:lineRule="auto"/>
        <w:ind w:firstLine="420"/>
        <w:rPr>
          <w:rFonts w:ascii="Arial" w:hAnsi="Arial" w:cs="Arial"/>
          <w:szCs w:val="21"/>
        </w:rPr>
      </w:pPr>
      <w:r w:rsidRPr="000D3C71">
        <w:rPr>
          <w:rFonts w:ascii="Arial" w:hAnsi="Arial" w:cs="Arial"/>
          <w:szCs w:val="21"/>
          <w:lang w:val="en"/>
        </w:rPr>
        <w:t xml:space="preserve">9. To convene Fund Unitholders' Meetings. </w:t>
      </w:r>
    </w:p>
    <w:p w14:paraId="7D986101" w14:textId="77777777" w:rsidR="0058308F" w:rsidRPr="000D3C71" w:rsidRDefault="00953439" w:rsidP="002C372A">
      <w:pPr>
        <w:pStyle w:val="affd"/>
        <w:spacing w:line="360" w:lineRule="auto"/>
        <w:ind w:firstLine="420"/>
        <w:rPr>
          <w:rFonts w:ascii="Arial" w:hAnsi="Arial" w:cs="Arial"/>
          <w:szCs w:val="21"/>
        </w:rPr>
      </w:pPr>
      <w:r w:rsidRPr="000D3C71">
        <w:rPr>
          <w:rFonts w:ascii="Arial" w:hAnsi="Arial" w:cs="Arial"/>
          <w:szCs w:val="21"/>
          <w:lang w:val="en"/>
        </w:rPr>
        <w:t xml:space="preserve">10. To preserve records, books, reports, and other relevant materials related to the Fund’s property management activities. </w:t>
      </w:r>
    </w:p>
    <w:p w14:paraId="59CE6D3B" w14:textId="77777777" w:rsidR="0058308F" w:rsidRPr="000D3C71" w:rsidRDefault="00953439" w:rsidP="002C372A">
      <w:pPr>
        <w:pStyle w:val="affd"/>
        <w:spacing w:line="360" w:lineRule="auto"/>
        <w:ind w:firstLine="420"/>
        <w:rPr>
          <w:rFonts w:ascii="Arial" w:hAnsi="Arial" w:cs="Arial"/>
          <w:szCs w:val="21"/>
        </w:rPr>
      </w:pPr>
      <w:r w:rsidRPr="000D3C71">
        <w:rPr>
          <w:rFonts w:ascii="Arial" w:hAnsi="Arial" w:cs="Arial"/>
          <w:szCs w:val="21"/>
          <w:lang w:val="en"/>
        </w:rPr>
        <w:t>11. To exercise litigation rights or take other legal actions in the name of the Fund Manager on behalf of the interests of Fund Unitholders.</w:t>
      </w:r>
    </w:p>
    <w:p w14:paraId="5F4152AA" w14:textId="77777777" w:rsidR="0058308F" w:rsidRPr="000D3C71" w:rsidRDefault="00953439" w:rsidP="002C372A">
      <w:pPr>
        <w:pStyle w:val="affd"/>
        <w:spacing w:line="360" w:lineRule="auto"/>
        <w:ind w:firstLine="420"/>
        <w:rPr>
          <w:rFonts w:ascii="Arial" w:hAnsi="Arial" w:cs="Arial"/>
          <w:szCs w:val="21"/>
        </w:rPr>
      </w:pPr>
      <w:r w:rsidRPr="000D3C71">
        <w:rPr>
          <w:rFonts w:ascii="Arial" w:hAnsi="Arial" w:cs="Arial"/>
          <w:szCs w:val="21"/>
          <w:lang w:val="en"/>
        </w:rPr>
        <w:t>12. To perform other duties as stipulated by the securities regulatory authority under the State Council.</w:t>
      </w:r>
    </w:p>
    <w:p w14:paraId="680D229D" w14:textId="77777777" w:rsidR="0058308F" w:rsidRPr="000D3C71" w:rsidRDefault="00953439" w:rsidP="002C372A">
      <w:pPr>
        <w:pStyle w:val="af6"/>
        <w:autoSpaceDE w:val="0"/>
        <w:autoSpaceDN w:val="0"/>
        <w:adjustRightInd w:val="0"/>
        <w:ind w:firstLineChars="0"/>
        <w:rPr>
          <w:rFonts w:ascii="Arial" w:hAnsi="Arial" w:cs="Arial"/>
        </w:rPr>
      </w:pPr>
      <w:r w:rsidRPr="000D3C71">
        <w:rPr>
          <w:rFonts w:ascii="Arial" w:hAnsi="Arial" w:cs="Arial"/>
          <w:lang w:val="en"/>
        </w:rPr>
        <w:t>(IV) Undertakings of the Fund Manager</w:t>
      </w:r>
    </w:p>
    <w:p w14:paraId="5AF5DF96" w14:textId="77777777" w:rsidR="0058308F"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 xml:space="preserve">1. The Fund Manager shall have the full discretion to manage the investments of the Fund, pursuant to the provisions of the Fund Contract and in accordance with the investment objectives, strategies and restrictions stated in this Prospectus. </w:t>
      </w:r>
    </w:p>
    <w:p w14:paraId="258F75AE" w14:textId="77777777" w:rsidR="0058308F"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 xml:space="preserve">2. The Fund Manager shall not engage in any activities that violate the Securities Law and shall establish a sound internal control system and adopt effective measures to prevent any breach of the Securities Law. </w:t>
      </w:r>
    </w:p>
    <w:p w14:paraId="0BA2552D" w14:textId="77777777" w:rsidR="0058308F"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 xml:space="preserve">3. The Fund Manager shall not engage in activities that violate the Fund Law and shall establish and improve internal control systems, taking effective measures to ensure that the Fund's property is not used for the following investments or activities: </w:t>
      </w:r>
    </w:p>
    <w:p w14:paraId="6DAA6554" w14:textId="77777777" w:rsidR="00016BA7"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(1) Underwriting securities.</w:t>
      </w:r>
    </w:p>
    <w:p w14:paraId="3CFE3A62" w14:textId="77777777" w:rsidR="00016BA7"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 xml:space="preserve">(2) Providing loans or guarantees to other parties in violation of regulations. </w:t>
      </w:r>
    </w:p>
    <w:p w14:paraId="0012869D" w14:textId="77777777" w:rsidR="00016BA7"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(3) Engaging in investments involving unlimited liability.</w:t>
      </w:r>
    </w:p>
    <w:p w14:paraId="61C2F3AC" w14:textId="77777777" w:rsidR="00016BA7"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 xml:space="preserve">(4) Buying or selling units of other funds, except as otherwise stipulated by the securities regulatory authority under the State Council. </w:t>
      </w:r>
    </w:p>
    <w:p w14:paraId="0F0B07FF" w14:textId="77777777" w:rsidR="00016BA7"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(5) Making capital contributions to the Fund Manager or the Fund Custodian.</w:t>
      </w:r>
    </w:p>
    <w:p w14:paraId="353E8213" w14:textId="77777777" w:rsidR="00016BA7"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 xml:space="preserve">(6) Engaging in insider trading, manipulating securities prices, or other improper securities trading activities. </w:t>
      </w:r>
    </w:p>
    <w:p w14:paraId="3A10F4D6" w14:textId="77777777" w:rsidR="00016BA7"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(7) Other acts prohibited by laws, administrative regulations, and the securities supervisory authorities under the State Council.</w:t>
      </w:r>
    </w:p>
    <w:p w14:paraId="378D78BB" w14:textId="77777777" w:rsidR="0058308F" w:rsidRPr="000D3C71" w:rsidRDefault="00953439" w:rsidP="002C372A">
      <w:pPr>
        <w:pStyle w:val="affd"/>
        <w:autoSpaceDE w:val="0"/>
        <w:autoSpaceDN w:val="0"/>
        <w:adjustRightInd w:val="0"/>
        <w:spacing w:line="360" w:lineRule="auto"/>
        <w:ind w:firstLine="420"/>
        <w:rPr>
          <w:rFonts w:ascii="Arial" w:hAnsi="Arial" w:cs="Arial"/>
          <w:szCs w:val="21"/>
        </w:rPr>
      </w:pPr>
      <w:r w:rsidRPr="000D3C71">
        <w:rPr>
          <w:rFonts w:ascii="Arial" w:hAnsi="Arial" w:cs="Arial"/>
          <w:szCs w:val="21"/>
          <w:lang w:val="en"/>
        </w:rPr>
        <w:t xml:space="preserve">4. The Fund Manager shall enhance personnel management, strengthen professional code of conduct, urge the staff to comply with the relevant laws, regulations and industry standards, and to conform to the principles of honesty, good faith and due diligence, and shall not engage in the following activities: </w:t>
      </w:r>
    </w:p>
    <w:p w14:paraId="495D603F" w14:textId="77777777" w:rsidR="0058308F" w:rsidRPr="000D3C71" w:rsidRDefault="00953439" w:rsidP="002C372A">
      <w:pPr>
        <w:pStyle w:val="affd"/>
        <w:spacing w:line="360" w:lineRule="auto"/>
        <w:ind w:firstLine="420"/>
        <w:rPr>
          <w:rFonts w:ascii="Arial" w:hAnsi="Arial" w:cs="Arial"/>
          <w:szCs w:val="21"/>
        </w:rPr>
      </w:pPr>
      <w:r w:rsidRPr="000D3C71">
        <w:rPr>
          <w:rFonts w:ascii="Arial" w:hAnsi="Arial" w:cs="Arial"/>
          <w:szCs w:val="21"/>
          <w:lang w:val="en"/>
        </w:rPr>
        <w:t>(1) Commingling their own property or the property of others with Fund Property for the purpose of securities investment;</w:t>
      </w:r>
    </w:p>
    <w:p w14:paraId="1E422136" w14:textId="77777777" w:rsidR="0058308F" w:rsidRPr="000D3C71" w:rsidRDefault="00953439" w:rsidP="002C372A">
      <w:pPr>
        <w:pStyle w:val="affd"/>
        <w:spacing w:line="360" w:lineRule="auto"/>
        <w:ind w:firstLine="420"/>
        <w:rPr>
          <w:rFonts w:ascii="Arial" w:hAnsi="Arial" w:cs="Arial"/>
          <w:szCs w:val="21"/>
        </w:rPr>
      </w:pPr>
      <w:r w:rsidRPr="000D3C71">
        <w:rPr>
          <w:rFonts w:ascii="Arial" w:hAnsi="Arial" w:cs="Arial"/>
          <w:szCs w:val="21"/>
          <w:lang w:val="en"/>
        </w:rPr>
        <w:t>(2) Treating different funds under management unfairly;</w:t>
      </w:r>
    </w:p>
    <w:p w14:paraId="6A00E3AA" w14:textId="77777777" w:rsidR="0058308F" w:rsidRPr="000D3C71" w:rsidRDefault="00953439" w:rsidP="002C372A">
      <w:pPr>
        <w:pStyle w:val="affd"/>
        <w:spacing w:line="360" w:lineRule="auto"/>
        <w:ind w:firstLine="420"/>
        <w:rPr>
          <w:rFonts w:ascii="Arial" w:hAnsi="Arial" w:cs="Arial"/>
          <w:szCs w:val="21"/>
        </w:rPr>
      </w:pPr>
      <w:r w:rsidRPr="000D3C71">
        <w:rPr>
          <w:rFonts w:ascii="Arial" w:hAnsi="Arial" w:cs="Arial"/>
          <w:szCs w:val="21"/>
          <w:lang w:val="en"/>
        </w:rPr>
        <w:t>(3) Using Fund Property to benefit any party other than the Fund Unitholders;</w:t>
      </w:r>
    </w:p>
    <w:p w14:paraId="3F2AE2CD" w14:textId="77777777" w:rsidR="0058308F" w:rsidRPr="000D3C71" w:rsidRDefault="00953439" w:rsidP="002C372A">
      <w:pPr>
        <w:pStyle w:val="affd"/>
        <w:spacing w:line="360" w:lineRule="auto"/>
        <w:ind w:firstLine="420"/>
        <w:rPr>
          <w:rFonts w:ascii="Arial" w:hAnsi="Arial" w:cs="Arial"/>
          <w:szCs w:val="21"/>
        </w:rPr>
      </w:pPr>
      <w:r w:rsidRPr="000D3C71">
        <w:rPr>
          <w:rFonts w:ascii="Arial" w:hAnsi="Arial" w:cs="Arial"/>
          <w:szCs w:val="21"/>
          <w:lang w:val="en"/>
        </w:rPr>
        <w:t>(4) Making unauthorized promises of returns or guarantees against losses to Fund Unitholders;</w:t>
      </w:r>
    </w:p>
    <w:p w14:paraId="6B4B977B" w14:textId="77777777" w:rsidR="0058308F" w:rsidRPr="000D3C71" w:rsidRDefault="00953439" w:rsidP="002C372A">
      <w:pPr>
        <w:pStyle w:val="affd"/>
        <w:spacing w:line="360" w:lineRule="auto"/>
        <w:ind w:firstLine="420"/>
        <w:rPr>
          <w:rFonts w:ascii="Arial" w:hAnsi="Arial" w:cs="Arial"/>
          <w:szCs w:val="21"/>
        </w:rPr>
      </w:pPr>
      <w:r w:rsidRPr="000D3C71">
        <w:rPr>
          <w:rFonts w:ascii="Arial" w:hAnsi="Arial" w:cs="Arial"/>
          <w:szCs w:val="21"/>
          <w:lang w:val="en"/>
        </w:rPr>
        <w:t>(5) Engaging in other activities prohibited by the securities regulatory authority under the State Council in accordance with applicable laws and administrative regulations.</w:t>
      </w:r>
    </w:p>
    <w:p w14:paraId="4DFF2EB0" w14:textId="77777777" w:rsidR="0058308F" w:rsidRPr="000D3C71" w:rsidRDefault="00953439" w:rsidP="002C372A">
      <w:pPr>
        <w:pStyle w:val="affd"/>
        <w:autoSpaceDE w:val="0"/>
        <w:autoSpaceDN w:val="0"/>
        <w:adjustRightInd w:val="0"/>
        <w:spacing w:line="360" w:lineRule="auto"/>
        <w:ind w:firstLine="420"/>
        <w:rPr>
          <w:rFonts w:ascii="Arial" w:hAnsi="Arial" w:cs="Arial"/>
          <w:szCs w:val="21"/>
        </w:rPr>
      </w:pPr>
      <w:r w:rsidRPr="000D3C71">
        <w:rPr>
          <w:rFonts w:ascii="Arial" w:hAnsi="Arial" w:cs="Arial"/>
          <w:szCs w:val="21"/>
          <w:lang w:val="en"/>
        </w:rPr>
        <w:t>5. Undertakings of the Portfolio Manager</w:t>
      </w:r>
    </w:p>
    <w:p w14:paraId="51AEEA15" w14:textId="77777777" w:rsidR="0058308F"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(1) To act in the best interests of Fund Unitholders based on the principle of prudence and in accordance with relevant laws, regulations, and the Fund Contract;</w:t>
      </w:r>
    </w:p>
    <w:p w14:paraId="3E5700CB" w14:textId="77777777" w:rsidR="0058308F"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(2) Not to use their position to seek improper gain for themselves, their principals or represented parties, their employers, or any other third party;</w:t>
      </w:r>
    </w:p>
    <w:p w14:paraId="2AC64B6E" w14:textId="77777777" w:rsidR="0058308F"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(3) Not to disclose any trade secrets related to securities or the Fund, or any non-public information regarding the Fund’s investment content, investment plans, or other information learned during their tenure that has not yet lawfully been made public.</w:t>
      </w:r>
    </w:p>
    <w:p w14:paraId="14489314" w14:textId="77777777" w:rsidR="0058308F" w:rsidRPr="000D3C71" w:rsidRDefault="00953439" w:rsidP="002C372A">
      <w:pPr>
        <w:pStyle w:val="affd"/>
        <w:autoSpaceDE w:val="0"/>
        <w:autoSpaceDN w:val="0"/>
        <w:adjustRightInd w:val="0"/>
        <w:spacing w:line="360" w:lineRule="auto"/>
        <w:ind w:firstLine="420"/>
        <w:rPr>
          <w:rFonts w:ascii="Arial" w:hAnsi="Arial" w:cs="Arial"/>
          <w:szCs w:val="21"/>
        </w:rPr>
      </w:pPr>
      <w:r w:rsidRPr="000D3C71">
        <w:rPr>
          <w:rFonts w:ascii="Arial" w:hAnsi="Arial" w:cs="Arial"/>
          <w:szCs w:val="21"/>
          <w:lang w:val="en"/>
        </w:rPr>
        <w:t>(V) The Fund Manager’s Internal Control System</w:t>
      </w:r>
    </w:p>
    <w:p w14:paraId="3F3F311F" w14:textId="77777777" w:rsidR="0058308F" w:rsidRPr="000D3C71" w:rsidRDefault="00953439" w:rsidP="002C372A">
      <w:pPr>
        <w:pStyle w:val="affd"/>
        <w:autoSpaceDE w:val="0"/>
        <w:autoSpaceDN w:val="0"/>
        <w:adjustRightInd w:val="0"/>
        <w:spacing w:line="360" w:lineRule="auto"/>
        <w:ind w:firstLine="420"/>
        <w:rPr>
          <w:rFonts w:ascii="Arial" w:hAnsi="Arial" w:cs="Arial"/>
          <w:szCs w:val="21"/>
        </w:rPr>
      </w:pPr>
      <w:r w:rsidRPr="000D3C71">
        <w:rPr>
          <w:rFonts w:ascii="Arial" w:hAnsi="Arial" w:cs="Arial"/>
          <w:szCs w:val="21"/>
          <w:lang w:val="en"/>
        </w:rPr>
        <w:t>The Fund Manager has established a comprehensive internal control system based on the principles of comprehensiveness, effectiveness, independence, checks and balances, firewalls, and cost-effectiveness. This system comprises a set of business management policies and corresponding operational and control procedures, which include the control environment, risk assessment, control activities, information and communication, and internal monitoring. The Company has obtained an unqualified opinion on the reasonableness of the design and operational effectiveness of its controls under its ISAE 3402 (International Standard on Assurance Engagements 3402) certification.</w:t>
      </w:r>
    </w:p>
    <w:p w14:paraId="764C3758" w14:textId="77777777" w:rsidR="0058308F" w:rsidRPr="000D3C71" w:rsidRDefault="00953439" w:rsidP="002C372A">
      <w:pPr>
        <w:pStyle w:val="affd"/>
        <w:autoSpaceDE w:val="0"/>
        <w:autoSpaceDN w:val="0"/>
        <w:adjustRightInd w:val="0"/>
        <w:spacing w:line="360" w:lineRule="auto"/>
        <w:ind w:firstLine="420"/>
        <w:rPr>
          <w:rFonts w:ascii="Arial" w:hAnsi="Arial" w:cs="Arial"/>
          <w:szCs w:val="21"/>
        </w:rPr>
      </w:pPr>
      <w:r w:rsidRPr="000D3C71">
        <w:rPr>
          <w:rFonts w:ascii="Arial" w:hAnsi="Arial" w:cs="Arial"/>
          <w:szCs w:val="21"/>
          <w:lang w:val="en"/>
        </w:rPr>
        <w:t>1. Control Environment</w:t>
      </w:r>
    </w:p>
    <w:p w14:paraId="64F416F0" w14:textId="77777777" w:rsidR="0058308F" w:rsidRPr="000D3C71" w:rsidRDefault="00953439" w:rsidP="002C372A">
      <w:pPr>
        <w:pStyle w:val="affd"/>
        <w:autoSpaceDE w:val="0"/>
        <w:autoSpaceDN w:val="0"/>
        <w:adjustRightInd w:val="0"/>
        <w:spacing w:line="360" w:lineRule="auto"/>
        <w:ind w:firstLine="420"/>
        <w:rPr>
          <w:rFonts w:ascii="Arial" w:hAnsi="Arial" w:cs="Arial"/>
          <w:szCs w:val="21"/>
        </w:rPr>
      </w:pPr>
      <w:r w:rsidRPr="000D3C71">
        <w:rPr>
          <w:rFonts w:ascii="Arial" w:hAnsi="Arial" w:cs="Arial"/>
          <w:szCs w:val="21"/>
          <w:lang w:val="en"/>
        </w:rPr>
        <w:t>A robust control environment comprises sound corporate governance, effective supervision and management, a rational organizational structure, and a strong culture of control.</w:t>
      </w:r>
    </w:p>
    <w:p w14:paraId="0320EBA7" w14:textId="77777777" w:rsidR="0058308F" w:rsidRPr="000D3C71" w:rsidRDefault="00953439" w:rsidP="002C372A">
      <w:pPr>
        <w:pStyle w:val="affd"/>
        <w:autoSpaceDE w:val="0"/>
        <w:autoSpaceDN w:val="0"/>
        <w:adjustRightInd w:val="0"/>
        <w:spacing w:line="360" w:lineRule="auto"/>
        <w:ind w:firstLine="420"/>
        <w:rPr>
          <w:rFonts w:ascii="Arial" w:hAnsi="Arial" w:cs="Arial"/>
          <w:szCs w:val="21"/>
        </w:rPr>
      </w:pPr>
      <w:r w:rsidRPr="000D3C71">
        <w:rPr>
          <w:rFonts w:ascii="Arial" w:hAnsi="Arial" w:cs="Arial"/>
          <w:szCs w:val="21"/>
          <w:lang w:val="en"/>
        </w:rPr>
        <w:t>(1) The Company has introduced an independent director system and currently has three independent directors. The Board of Directors has established specialized committees, including the Audit Committee. Senior management has established professional committees such as the Investment Decision Committee and the Risk Management Committee.</w:t>
      </w:r>
    </w:p>
    <w:p w14:paraId="20FD1FD1" w14:textId="77777777" w:rsidR="0058308F" w:rsidRPr="000D3C71" w:rsidRDefault="00953439" w:rsidP="002C372A">
      <w:pPr>
        <w:pStyle w:val="affd"/>
        <w:spacing w:line="360" w:lineRule="auto"/>
        <w:ind w:firstLine="435"/>
        <w:rPr>
          <w:rFonts w:ascii="Arial" w:hAnsi="Arial" w:cs="Arial"/>
          <w:szCs w:val="21"/>
        </w:rPr>
      </w:pPr>
      <w:r w:rsidRPr="000D3C71">
        <w:rPr>
          <w:rFonts w:ascii="Arial" w:hAnsi="Arial" w:cs="Arial"/>
          <w:szCs w:val="21"/>
          <w:lang w:val="en"/>
        </w:rPr>
        <w:t xml:space="preserve">(2) Company departments have clearly defined authorities and responsibilities, fostering cooperation while ensuring mutual checks and balances, thereby creating a reasonable organizational structure. </w:t>
      </w:r>
    </w:p>
    <w:p w14:paraId="29BA469B" w14:textId="77777777" w:rsidR="0058308F" w:rsidRPr="000D3C71" w:rsidRDefault="00953439" w:rsidP="002C372A">
      <w:pPr>
        <w:pStyle w:val="affd"/>
        <w:spacing w:line="360" w:lineRule="auto"/>
        <w:ind w:firstLine="435"/>
        <w:rPr>
          <w:rFonts w:ascii="Arial" w:hAnsi="Arial" w:cs="Arial"/>
          <w:szCs w:val="21"/>
        </w:rPr>
      </w:pPr>
      <w:r w:rsidRPr="000D3C71">
        <w:rPr>
          <w:rFonts w:ascii="Arial" w:hAnsi="Arial" w:cs="Arial"/>
          <w:szCs w:val="21"/>
          <w:lang w:val="en"/>
        </w:rPr>
        <w:t>(3) The Company adheres to prudent management and compliant operations, emphasizes the cultivation of compliance awareness and professional ethics among its employees, and provides ongoing education.</w:t>
      </w:r>
    </w:p>
    <w:p w14:paraId="6A338332" w14:textId="77777777" w:rsidR="0058308F" w:rsidRPr="000D3C71" w:rsidRDefault="00953439" w:rsidP="002C372A">
      <w:pPr>
        <w:pStyle w:val="affd"/>
        <w:autoSpaceDE w:val="0"/>
        <w:autoSpaceDN w:val="0"/>
        <w:adjustRightInd w:val="0"/>
        <w:spacing w:line="360" w:lineRule="auto"/>
        <w:ind w:firstLine="420"/>
        <w:rPr>
          <w:rFonts w:ascii="Arial" w:hAnsi="Arial" w:cs="Arial"/>
          <w:szCs w:val="21"/>
        </w:rPr>
      </w:pPr>
      <w:r w:rsidRPr="000D3C71">
        <w:rPr>
          <w:rFonts w:ascii="Arial" w:hAnsi="Arial" w:cs="Arial"/>
          <w:szCs w:val="21"/>
          <w:lang w:val="en"/>
        </w:rPr>
        <w:t>2. Risk Assessment</w:t>
      </w:r>
    </w:p>
    <w:p w14:paraId="553CFBAA" w14:textId="77777777" w:rsidR="0058308F" w:rsidRPr="000D3C71" w:rsidRDefault="00953439" w:rsidP="002C372A">
      <w:pPr>
        <w:pStyle w:val="affd"/>
        <w:autoSpaceDE w:val="0"/>
        <w:autoSpaceDN w:val="0"/>
        <w:adjustRightInd w:val="0"/>
        <w:spacing w:line="360" w:lineRule="auto"/>
        <w:ind w:firstLine="420"/>
        <w:rPr>
          <w:rFonts w:ascii="Arial" w:hAnsi="Arial" w:cs="Arial"/>
          <w:szCs w:val="21"/>
        </w:rPr>
      </w:pPr>
      <w:r w:rsidRPr="000D3C71">
        <w:rPr>
          <w:rFonts w:ascii="Arial" w:hAnsi="Arial" w:cs="Arial"/>
          <w:szCs w:val="21"/>
          <w:lang w:val="en"/>
        </w:rPr>
        <w:t>After setting their respective objectives, all levels and departments of the Company analyze risk factors that may affect the achievement of these objectives. For uncontrollable risks, risk assessment is used to determine whether to accept the risk or reduce relevant business activities. For controllable risks, the goal is to determine how institutional arrangements can be used to control risk levels. Risk assessment also includes the ongoing re-evaluation of emerging risks in daily work and the continual improvement of relevant policies, as well as risk assessment and the establishment of risk control policies during the design phase of new business activities.</w:t>
      </w:r>
    </w:p>
    <w:p w14:paraId="1F8F952E" w14:textId="77777777" w:rsidR="0058308F" w:rsidRPr="000D3C71" w:rsidRDefault="00953439" w:rsidP="002C372A">
      <w:pPr>
        <w:pStyle w:val="affd"/>
        <w:autoSpaceDE w:val="0"/>
        <w:autoSpaceDN w:val="0"/>
        <w:adjustRightInd w:val="0"/>
        <w:spacing w:line="360" w:lineRule="auto"/>
        <w:ind w:firstLine="420"/>
        <w:rPr>
          <w:rFonts w:ascii="Arial" w:hAnsi="Arial" w:cs="Arial"/>
          <w:szCs w:val="21"/>
        </w:rPr>
      </w:pPr>
      <w:r w:rsidRPr="000D3C71">
        <w:rPr>
          <w:rFonts w:ascii="Arial" w:hAnsi="Arial" w:cs="Arial"/>
          <w:szCs w:val="21"/>
          <w:lang w:val="en"/>
        </w:rPr>
        <w:t>3. Control Activities</w:t>
      </w:r>
    </w:p>
    <w:p w14:paraId="625AD92E" w14:textId="77777777" w:rsidR="0058308F" w:rsidRPr="000D3C71" w:rsidRDefault="00953439" w:rsidP="002C372A">
      <w:pPr>
        <w:pStyle w:val="affd"/>
        <w:autoSpaceDE w:val="0"/>
        <w:autoSpaceDN w:val="0"/>
        <w:adjustRightInd w:val="0"/>
        <w:spacing w:line="360" w:lineRule="auto"/>
        <w:ind w:firstLine="420"/>
        <w:rPr>
          <w:rFonts w:ascii="Arial" w:hAnsi="Arial" w:cs="Arial"/>
          <w:szCs w:val="21"/>
        </w:rPr>
      </w:pPr>
      <w:r w:rsidRPr="000D3C71">
        <w:rPr>
          <w:rFonts w:ascii="Arial" w:hAnsi="Arial" w:cs="Arial"/>
          <w:szCs w:val="21"/>
          <w:lang w:val="en"/>
        </w:rPr>
        <w:t>The Company has established strict control policies for major business areas such as investment, accounting, technology systems, and human resources. Business operating procedures are designed to be scientific, reasonable, and standardized, with requirements for comprehensive record-keeping, retention, and rigorous inspection and review. Internal roles are appropriately segregated with clear responsibilities, and incompatible duties and positions are separated to ensure checks and balances.</w:t>
      </w:r>
    </w:p>
    <w:p w14:paraId="524AA0E3" w14:textId="77777777" w:rsidR="0058308F" w:rsidRPr="000D3C71" w:rsidRDefault="00953439" w:rsidP="002C372A">
      <w:pPr>
        <w:pStyle w:val="affd"/>
        <w:autoSpaceDE w:val="0"/>
        <w:autoSpaceDN w:val="0"/>
        <w:adjustRightInd w:val="0"/>
        <w:spacing w:line="360" w:lineRule="auto"/>
        <w:ind w:firstLine="420"/>
        <w:rPr>
          <w:rFonts w:ascii="Arial" w:hAnsi="Arial" w:cs="Arial"/>
          <w:szCs w:val="21"/>
        </w:rPr>
      </w:pPr>
      <w:r w:rsidRPr="000D3C71">
        <w:rPr>
          <w:rFonts w:ascii="Arial" w:hAnsi="Arial" w:cs="Arial"/>
          <w:szCs w:val="21"/>
          <w:lang w:val="en"/>
        </w:rPr>
        <w:t>(1) Investment Control System</w:t>
      </w:r>
    </w:p>
    <w:p w14:paraId="140B02E1" w14:textId="77777777" w:rsidR="0065488C"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The Investment Decision Committee is the Company’s highest investment decision-making body, responsible for asset allocation and major investment decisions. The fund management team is responsible for portfolio construction based on the asset allocation determined by the Investment Decision Committee. The Portfolio Manager leads the fund management team in daily investment operations within the scope of the Fund Contract and delegated investment authority. The Trading Management Department is responsible for centralized trade execution.</w:t>
      </w:r>
    </w:p>
    <w:p w14:paraId="057A201F" w14:textId="77777777" w:rsidR="0058308F"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Cambria Math" w:hAnsi="Cambria Math" w:cs="Cambria Math"/>
          <w:lang w:val="en"/>
        </w:rPr>
        <w:t>①</w:t>
      </w:r>
      <w:r w:rsidRPr="000D3C71">
        <w:rPr>
          <w:rFonts w:ascii="Arial" w:hAnsi="Arial" w:cs="Arial"/>
          <w:lang w:val="en"/>
        </w:rPr>
        <w:t xml:space="preserve"> Separation of Investment Decision-Making and Execution: Investment decision-making and trade execution functions are strictly segregated, and a centralized trading system is implemented. A fair trade allocation system has been established and refined to ensure all investment portfolios have equal access to trade execution opportunities.</w:t>
      </w:r>
      <w:r w:rsidRPr="000D3C71">
        <w:rPr>
          <w:rFonts w:ascii="Arial" w:hAnsi="Arial" w:cs="Arial"/>
          <w:szCs w:val="21"/>
          <w:lang w:val="en"/>
        </w:rPr>
        <w:fldChar w:fldCharType="begin"/>
      </w:r>
      <w:r w:rsidRPr="000D3C71">
        <w:rPr>
          <w:rFonts w:ascii="Arial" w:hAnsi="Arial" w:cs="Arial"/>
          <w:szCs w:val="21"/>
          <w:lang w:val="en"/>
        </w:rPr>
        <w:instrText xml:space="preserve"> = 1 \* GB3 </w:instrText>
      </w:r>
      <w:r w:rsidRPr="000D3C71">
        <w:rPr>
          <w:rFonts w:ascii="Arial" w:hAnsi="Arial" w:cs="Arial"/>
          <w:szCs w:val="21"/>
          <w:lang w:val="en"/>
        </w:rPr>
        <w:fldChar w:fldCharType="separate"/>
      </w:r>
      <w:r w:rsidRPr="000D3C71">
        <w:rPr>
          <w:rFonts w:ascii="Arial" w:hAnsi="Arial" w:cs="Arial"/>
          <w:szCs w:val="21"/>
          <w:lang w:val="en"/>
        </w:rPr>
        <w:fldChar w:fldCharType="end"/>
      </w:r>
    </w:p>
    <w:p w14:paraId="392F0972" w14:textId="77777777" w:rsidR="0058308F" w:rsidRPr="000D3C71" w:rsidRDefault="00953439" w:rsidP="00503FB4">
      <w:pPr>
        <w:pStyle w:val="affd"/>
        <w:spacing w:line="360" w:lineRule="auto"/>
        <w:ind w:firstLineChars="200" w:firstLine="420"/>
        <w:rPr>
          <w:rFonts w:ascii="Arial" w:hAnsi="Arial" w:cs="Arial"/>
        </w:rPr>
      </w:pPr>
      <w:r w:rsidRPr="000D3C71">
        <w:rPr>
          <w:rFonts w:ascii="Cambria Math" w:hAnsi="Cambria Math" w:cs="Cambria Math"/>
          <w:lang w:val="en"/>
        </w:rPr>
        <w:t>②</w:t>
      </w:r>
      <w:r w:rsidRPr="000D3C71">
        <w:rPr>
          <w:rFonts w:ascii="Arial" w:hAnsi="Arial" w:cs="Arial"/>
          <w:lang w:val="en"/>
        </w:rPr>
        <w:t xml:space="preserve"> Investment Authorization Control: A clear investment authorization system is in place to prevent unauthorized decision-making. The Investment Decision Committee formulates investment principles and approves asset allocation ratios. Within the parameters set by the Investment Decision Committee, the fund management team is responsible for determining and implementing investment strategies, constructing and adjusting portfolios, and issuing investment instructions. Actions exceeding delegated authority require strict approval procedures. The Trading Management Department executes trades as instructed by the Portfolio Manager or authorized team members.</w:t>
      </w:r>
      <w:r w:rsidRPr="000D3C71">
        <w:rPr>
          <w:rFonts w:ascii="Arial" w:hAnsi="Arial" w:cs="Arial"/>
          <w:szCs w:val="21"/>
          <w:lang w:val="en"/>
        </w:rPr>
        <w:fldChar w:fldCharType="begin"/>
      </w:r>
      <w:r w:rsidRPr="000D3C71">
        <w:rPr>
          <w:rFonts w:ascii="Arial" w:hAnsi="Arial" w:cs="Arial"/>
          <w:szCs w:val="21"/>
          <w:lang w:val="en"/>
        </w:rPr>
        <w:instrText xml:space="preserve"> = 2 \* GB3 </w:instrText>
      </w:r>
      <w:r w:rsidRPr="000D3C71">
        <w:rPr>
          <w:rFonts w:ascii="Arial" w:hAnsi="Arial" w:cs="Arial"/>
          <w:szCs w:val="21"/>
          <w:lang w:val="en"/>
        </w:rPr>
        <w:fldChar w:fldCharType="separate"/>
      </w:r>
      <w:r w:rsidRPr="000D3C71">
        <w:rPr>
          <w:rFonts w:ascii="Arial" w:hAnsi="Arial" w:cs="Arial"/>
          <w:szCs w:val="21"/>
          <w:lang w:val="en"/>
        </w:rPr>
        <w:fldChar w:fldCharType="end"/>
      </w:r>
    </w:p>
    <w:p w14:paraId="5C8A3F7E" w14:textId="77777777" w:rsidR="0058308F" w:rsidRPr="000D3C71" w:rsidRDefault="00953439" w:rsidP="00503FB4">
      <w:pPr>
        <w:pStyle w:val="affd"/>
        <w:autoSpaceDE w:val="0"/>
        <w:autoSpaceDN w:val="0"/>
        <w:adjustRightInd w:val="0"/>
        <w:spacing w:line="360" w:lineRule="auto"/>
        <w:ind w:firstLineChars="200" w:firstLine="420"/>
        <w:rPr>
          <w:rFonts w:ascii="Arial" w:hAnsi="Arial" w:cs="Arial"/>
        </w:rPr>
      </w:pPr>
      <w:r w:rsidRPr="000D3C71">
        <w:rPr>
          <w:rFonts w:ascii="Cambria Math" w:hAnsi="Cambria Math" w:cs="Cambria Math"/>
          <w:lang w:val="en"/>
        </w:rPr>
        <w:t>③</w:t>
      </w:r>
      <w:r w:rsidRPr="000D3C71">
        <w:rPr>
          <w:rFonts w:ascii="Arial" w:hAnsi="Arial" w:cs="Arial"/>
          <w:lang w:val="en"/>
        </w:rPr>
        <w:t xml:space="preserve"> Warning Controls: Early warning thresholds for various asset allocation ratios are set in accordance with regulations or Company rules. The trading system automatically issues alerts when investment ratios approach these preset limits.</w:t>
      </w:r>
      <w:r w:rsidRPr="000D3C71">
        <w:rPr>
          <w:rFonts w:ascii="Arial" w:hAnsi="Arial" w:cs="Arial"/>
          <w:szCs w:val="21"/>
          <w:lang w:val="en"/>
        </w:rPr>
        <w:fldChar w:fldCharType="begin"/>
      </w:r>
      <w:r w:rsidRPr="000D3C71">
        <w:rPr>
          <w:rFonts w:ascii="Arial" w:hAnsi="Arial" w:cs="Arial"/>
          <w:szCs w:val="21"/>
          <w:lang w:val="en"/>
        </w:rPr>
        <w:instrText xml:space="preserve"> = 3 \* GB3 </w:instrText>
      </w:r>
      <w:r w:rsidRPr="000D3C71">
        <w:rPr>
          <w:rFonts w:ascii="Arial" w:hAnsi="Arial" w:cs="Arial"/>
          <w:szCs w:val="21"/>
          <w:lang w:val="en"/>
        </w:rPr>
        <w:fldChar w:fldCharType="separate"/>
      </w:r>
      <w:r w:rsidRPr="000D3C71">
        <w:rPr>
          <w:rFonts w:ascii="Arial" w:hAnsi="Arial" w:cs="Arial"/>
          <w:szCs w:val="21"/>
          <w:lang w:val="en"/>
        </w:rPr>
        <w:fldChar w:fldCharType="end"/>
      </w:r>
    </w:p>
    <w:p w14:paraId="3EB29FE3" w14:textId="77777777" w:rsidR="0058308F" w:rsidRPr="000D3C71" w:rsidRDefault="00953439" w:rsidP="00503FB4">
      <w:pPr>
        <w:pStyle w:val="affd"/>
        <w:autoSpaceDE w:val="0"/>
        <w:autoSpaceDN w:val="0"/>
        <w:adjustRightInd w:val="0"/>
        <w:spacing w:line="360" w:lineRule="auto"/>
        <w:ind w:firstLineChars="200" w:firstLine="420"/>
        <w:rPr>
          <w:rFonts w:ascii="Arial" w:hAnsi="Arial" w:cs="Arial"/>
        </w:rPr>
      </w:pPr>
      <w:r w:rsidRPr="000D3C71">
        <w:rPr>
          <w:rFonts w:ascii="Cambria Math" w:hAnsi="Cambria Math" w:cs="Cambria Math"/>
          <w:lang w:val="en"/>
        </w:rPr>
        <w:t>④</w:t>
      </w:r>
      <w:r w:rsidRPr="000D3C71">
        <w:rPr>
          <w:rFonts w:ascii="Arial" w:hAnsi="Arial" w:cs="Arial"/>
          <w:lang w:val="en"/>
        </w:rPr>
        <w:t xml:space="preserve"> Prohibitive Controls: In line with laws, regulations, and Company policies, the Fund is prohibited from investing in restricted securities and engaging in restricted activities. The trading system enforces these prohibitions via preset alerts and restrictions.</w:t>
      </w:r>
      <w:r w:rsidRPr="000D3C71">
        <w:rPr>
          <w:rFonts w:ascii="Arial" w:hAnsi="Arial" w:cs="Arial"/>
          <w:szCs w:val="21"/>
          <w:lang w:val="en"/>
        </w:rPr>
        <w:fldChar w:fldCharType="begin"/>
      </w:r>
      <w:r w:rsidRPr="000D3C71">
        <w:rPr>
          <w:rFonts w:ascii="Arial" w:hAnsi="Arial" w:cs="Arial"/>
          <w:szCs w:val="21"/>
          <w:lang w:val="en"/>
        </w:rPr>
        <w:instrText xml:space="preserve"> = 4 \* GB3 </w:instrText>
      </w:r>
      <w:r w:rsidRPr="000D3C71">
        <w:rPr>
          <w:rFonts w:ascii="Arial" w:hAnsi="Arial" w:cs="Arial"/>
          <w:szCs w:val="21"/>
          <w:lang w:val="en"/>
        </w:rPr>
        <w:fldChar w:fldCharType="separate"/>
      </w:r>
      <w:r w:rsidRPr="000D3C71">
        <w:rPr>
          <w:rFonts w:ascii="Arial" w:hAnsi="Arial" w:cs="Arial"/>
          <w:szCs w:val="21"/>
          <w:lang w:val="en"/>
        </w:rPr>
        <w:fldChar w:fldCharType="end"/>
      </w:r>
    </w:p>
    <w:p w14:paraId="65AC9C82" w14:textId="77777777" w:rsidR="0058308F" w:rsidRPr="000D3C71" w:rsidRDefault="00953439" w:rsidP="00503FB4">
      <w:pPr>
        <w:pStyle w:val="affd"/>
        <w:autoSpaceDE w:val="0"/>
        <w:autoSpaceDN w:val="0"/>
        <w:adjustRightInd w:val="0"/>
        <w:spacing w:line="360" w:lineRule="auto"/>
        <w:ind w:firstLineChars="200" w:firstLine="420"/>
        <w:rPr>
          <w:rFonts w:ascii="Arial" w:hAnsi="Arial" w:cs="Arial"/>
        </w:rPr>
      </w:pPr>
      <w:r w:rsidRPr="000D3C71">
        <w:rPr>
          <w:rFonts w:ascii="Cambria Math" w:hAnsi="Cambria Math" w:cs="Cambria Math"/>
          <w:lang w:val="en"/>
        </w:rPr>
        <w:t>⑤</w:t>
      </w:r>
      <w:r w:rsidRPr="000D3C71">
        <w:rPr>
          <w:rFonts w:ascii="Arial" w:hAnsi="Arial" w:cs="Arial"/>
          <w:lang w:val="en"/>
        </w:rPr>
        <w:t xml:space="preserve"> Multiple Layers of Monitoring and Feedback: The Trading Management Department provides frontline monitoring of investment activities; the Risk Management Department conducts contemporaneous monitoring; and the compliance and audit departments perform post-trade monitoring. Any irregularities identified during monitoring are reported promptly, prompting corrective adjustments.</w:t>
      </w:r>
      <w:r w:rsidRPr="000D3C71">
        <w:rPr>
          <w:rFonts w:ascii="Arial" w:hAnsi="Arial" w:cs="Arial"/>
          <w:szCs w:val="21"/>
          <w:lang w:val="en"/>
        </w:rPr>
        <w:fldChar w:fldCharType="begin"/>
      </w:r>
      <w:r w:rsidRPr="000D3C71">
        <w:rPr>
          <w:rFonts w:ascii="Arial" w:hAnsi="Arial" w:cs="Arial"/>
          <w:szCs w:val="21"/>
          <w:lang w:val="en"/>
        </w:rPr>
        <w:instrText xml:space="preserve"> = 5 \* GB3 </w:instrText>
      </w:r>
      <w:r w:rsidRPr="000D3C71">
        <w:rPr>
          <w:rFonts w:ascii="Arial" w:hAnsi="Arial" w:cs="Arial"/>
          <w:szCs w:val="21"/>
          <w:lang w:val="en"/>
        </w:rPr>
        <w:fldChar w:fldCharType="separate"/>
      </w:r>
      <w:r w:rsidRPr="000D3C71">
        <w:rPr>
          <w:rFonts w:ascii="Arial" w:hAnsi="Arial" w:cs="Arial"/>
          <w:szCs w:val="21"/>
          <w:lang w:val="en"/>
        </w:rPr>
        <w:fldChar w:fldCharType="end"/>
      </w:r>
    </w:p>
    <w:p w14:paraId="29FD0749"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(2) Accounting Control System</w:t>
      </w:r>
    </w:p>
    <w:p w14:paraId="6B0D501C"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Cambria Math" w:hAnsi="Cambria Math" w:cs="Cambria Math"/>
          <w:lang w:val="en"/>
        </w:rPr>
        <w:t>①</w:t>
      </w:r>
      <w:r w:rsidRPr="000D3C71">
        <w:rPr>
          <w:rFonts w:ascii="Arial" w:hAnsi="Arial" w:cs="Arial"/>
          <w:lang w:val="en"/>
        </w:rPr>
        <w:t xml:space="preserve"> Policies and operating procedures for fund accounting have been established to ensure that accounting operations are conducted according to set rules.</w:t>
      </w:r>
      <w:r w:rsidRPr="000D3C71">
        <w:rPr>
          <w:rFonts w:ascii="Arial" w:hAnsi="Arial" w:cs="Arial"/>
          <w:szCs w:val="21"/>
          <w:lang w:val="en"/>
        </w:rPr>
        <w:fldChar w:fldCharType="begin"/>
      </w:r>
      <w:r w:rsidRPr="000D3C71">
        <w:rPr>
          <w:rFonts w:ascii="Arial" w:hAnsi="Arial" w:cs="Arial"/>
          <w:szCs w:val="21"/>
          <w:lang w:val="en"/>
        </w:rPr>
        <w:instrText xml:space="preserve"> = 1 \* GB3 </w:instrText>
      </w:r>
      <w:r w:rsidRPr="000D3C71">
        <w:rPr>
          <w:rFonts w:ascii="Arial" w:hAnsi="Arial" w:cs="Arial"/>
          <w:szCs w:val="21"/>
          <w:lang w:val="en"/>
        </w:rPr>
        <w:fldChar w:fldCharType="separate"/>
      </w:r>
      <w:r w:rsidRPr="000D3C71">
        <w:rPr>
          <w:rFonts w:ascii="Arial" w:hAnsi="Arial" w:cs="Arial"/>
          <w:szCs w:val="21"/>
          <w:lang w:val="en"/>
        </w:rPr>
        <w:fldChar w:fldCharType="end"/>
      </w:r>
    </w:p>
    <w:p w14:paraId="78C74525"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Cambria Math" w:hAnsi="Cambria Math" w:cs="Cambria Math"/>
          <w:lang w:val="en"/>
        </w:rPr>
        <w:t>②</w:t>
      </w:r>
      <w:r w:rsidRPr="000D3C71">
        <w:rPr>
          <w:rFonts w:ascii="Arial" w:hAnsi="Arial" w:cs="Arial"/>
          <w:lang w:val="en"/>
        </w:rPr>
        <w:t xml:space="preserve"> A review mechanism for fund accounting and a system for mutual verification and supervision with the Custodian have been established in accordance with the principle of checks and balances.</w:t>
      </w:r>
      <w:r w:rsidRPr="000D3C71">
        <w:rPr>
          <w:rFonts w:ascii="Arial" w:hAnsi="Arial" w:cs="Arial"/>
          <w:szCs w:val="21"/>
          <w:lang w:val="en"/>
        </w:rPr>
        <w:fldChar w:fldCharType="begin"/>
      </w:r>
      <w:r w:rsidRPr="000D3C71">
        <w:rPr>
          <w:rFonts w:ascii="Arial" w:hAnsi="Arial" w:cs="Arial"/>
          <w:szCs w:val="21"/>
          <w:lang w:val="en"/>
        </w:rPr>
        <w:instrText xml:space="preserve"> = 2 \* GB3 </w:instrText>
      </w:r>
      <w:r w:rsidRPr="000D3C71">
        <w:rPr>
          <w:rFonts w:ascii="Arial" w:hAnsi="Arial" w:cs="Arial"/>
          <w:szCs w:val="21"/>
          <w:lang w:val="en"/>
        </w:rPr>
        <w:fldChar w:fldCharType="separate"/>
      </w:r>
      <w:r w:rsidRPr="000D3C71">
        <w:rPr>
          <w:rFonts w:ascii="Arial" w:hAnsi="Arial" w:cs="Arial"/>
          <w:szCs w:val="21"/>
          <w:lang w:val="en"/>
        </w:rPr>
        <w:fldChar w:fldCharType="end"/>
      </w:r>
    </w:p>
    <w:p w14:paraId="0FB489C4" w14:textId="77777777" w:rsidR="0058308F"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Cambria Math" w:hAnsi="Cambria Math" w:cs="Cambria Math"/>
          <w:lang w:val="en"/>
        </w:rPr>
        <w:t>③</w:t>
      </w:r>
      <w:r w:rsidRPr="000D3C71">
        <w:rPr>
          <w:rFonts w:ascii="Arial" w:hAnsi="Arial" w:cs="Arial"/>
          <w:lang w:val="en"/>
        </w:rPr>
        <w:t xml:space="preserve"> A cash position management system has been implemented to prevent overdraft risks in fund accounting.</w:t>
      </w:r>
      <w:r w:rsidRPr="000D3C71">
        <w:rPr>
          <w:rFonts w:ascii="Arial" w:hAnsi="Arial" w:cs="Arial"/>
          <w:szCs w:val="21"/>
          <w:lang w:val="en"/>
        </w:rPr>
        <w:fldChar w:fldCharType="begin"/>
      </w:r>
      <w:r w:rsidRPr="000D3C71">
        <w:rPr>
          <w:rFonts w:ascii="Arial" w:hAnsi="Arial" w:cs="Arial"/>
          <w:szCs w:val="21"/>
          <w:lang w:val="en"/>
        </w:rPr>
        <w:instrText xml:space="preserve"> = 3 \* GB3 </w:instrText>
      </w:r>
      <w:r w:rsidRPr="000D3C71">
        <w:rPr>
          <w:rFonts w:ascii="Arial" w:hAnsi="Arial" w:cs="Arial"/>
          <w:szCs w:val="21"/>
          <w:lang w:val="en"/>
        </w:rPr>
        <w:fldChar w:fldCharType="separate"/>
      </w:r>
      <w:r w:rsidRPr="000D3C71">
        <w:rPr>
          <w:rFonts w:ascii="Arial" w:hAnsi="Arial" w:cs="Arial"/>
          <w:szCs w:val="21"/>
          <w:lang w:val="en"/>
        </w:rPr>
        <w:fldChar w:fldCharType="end"/>
      </w:r>
    </w:p>
    <w:p w14:paraId="1C15D848" w14:textId="77777777" w:rsidR="0058308F"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Cambria Math" w:hAnsi="Cambria Math" w:cs="Cambria Math"/>
          <w:lang w:val="en"/>
        </w:rPr>
        <w:t>④</w:t>
      </w:r>
      <w:r w:rsidRPr="000D3C71">
        <w:rPr>
          <w:rFonts w:ascii="Arial" w:hAnsi="Arial" w:cs="Arial"/>
          <w:lang w:val="en"/>
        </w:rPr>
        <w:t xml:space="preserve"> A comprehensive system for records retention and financial handover has been established.</w:t>
      </w:r>
      <w:r w:rsidRPr="000D3C71">
        <w:rPr>
          <w:rFonts w:ascii="Arial" w:hAnsi="Arial" w:cs="Arial"/>
          <w:szCs w:val="21"/>
          <w:lang w:val="en"/>
        </w:rPr>
        <w:fldChar w:fldCharType="begin"/>
      </w:r>
      <w:r w:rsidRPr="000D3C71">
        <w:rPr>
          <w:rFonts w:ascii="Arial" w:hAnsi="Arial" w:cs="Arial"/>
          <w:szCs w:val="21"/>
          <w:lang w:val="en"/>
        </w:rPr>
        <w:instrText xml:space="preserve"> = 4 \* GB3 </w:instrText>
      </w:r>
      <w:r w:rsidRPr="000D3C71">
        <w:rPr>
          <w:rFonts w:ascii="Arial" w:hAnsi="Arial" w:cs="Arial"/>
          <w:szCs w:val="21"/>
          <w:lang w:val="en"/>
        </w:rPr>
        <w:fldChar w:fldCharType="separate"/>
      </w:r>
      <w:r w:rsidRPr="000D3C71">
        <w:rPr>
          <w:rFonts w:ascii="Arial" w:hAnsi="Arial" w:cs="Arial"/>
          <w:szCs w:val="21"/>
          <w:lang w:val="en"/>
        </w:rPr>
        <w:fldChar w:fldCharType="end"/>
      </w:r>
    </w:p>
    <w:p w14:paraId="0D16FEDA" w14:textId="77777777" w:rsidR="0058308F"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(3) Technology System Controls</w:t>
      </w:r>
    </w:p>
    <w:p w14:paraId="463BA99E"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To ensure the secure and stable operation of its technology systems, the Company has established comprehensive policies covering hardware security, data transmission and network security, software and hardware maintenance, data backup, IT personnel management, and crisis response.</w:t>
      </w:r>
    </w:p>
    <w:p w14:paraId="79E6E39E"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(4) Human Resources Management System</w:t>
      </w:r>
    </w:p>
    <w:p w14:paraId="29B720B5"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Company has developed robust human resources policies for recruitment and termination, training, performance evaluation, and compensation to ensure the effective management of its personnel.</w:t>
      </w:r>
    </w:p>
    <w:p w14:paraId="716E806A"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(5) Supervisory System</w:t>
      </w:r>
    </w:p>
    <w:p w14:paraId="37415958"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Company has established a supervisory department responsible for its legal affairs and supervisory work. The supervisory system includes procedures for investigating and handling violations, as well as monitoring employee conduct.</w:t>
      </w:r>
    </w:p>
    <w:p w14:paraId="610D621A"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(6) Anti-Money Laundering (AML) System</w:t>
      </w:r>
    </w:p>
    <w:p w14:paraId="5979772E"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Company has established a dedicated AML working group as its specialized body for AML work and has designated staff responsible for AML and counter-terrorist financing compliance management. Relevant departments have established AML positions staffed with responsible personnel. In addition to establishing a sound AML organizational structure, the Company has developed its Anti-Money Laundering Internal Control Policy and related operating procedures to ensure effective fulfillment of its AML obligations as a financial institution.</w:t>
      </w:r>
    </w:p>
    <w:p w14:paraId="23DE0398"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4. Information and Communication</w:t>
      </w:r>
    </w:p>
    <w:p w14:paraId="173C9691"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Company has established an internal automated office information system and a business reporting system. These systems provide effective communication channels, allowing employees and management at all levels to fully access information relevant to their responsibilities. Information is delivered promptly to the appropriate personnel for processing. Currently, all of the Company’s business operations are automated, with varying access rights assigned according to job function and level.</w:t>
      </w:r>
    </w:p>
    <w:p w14:paraId="0A6902EF"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5. Internal Monitoring</w:t>
      </w:r>
    </w:p>
    <w:p w14:paraId="79A23E86"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Company has established an audit department that is independent of all business units. Through regular and ad hoc inspections, the audit department evaluates the reasonableness, completeness, and effectiveness of the internal control system, supervises the implementation of all internal control policies, and ensures the effective operation of all business and management activities.</w:t>
      </w:r>
    </w:p>
    <w:p w14:paraId="60458141"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6. Fund Manager’s Statement on Internal Controls</w:t>
      </w:r>
    </w:p>
    <w:p w14:paraId="657C8E13"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 xml:space="preserve">(1) The Company acknowledges that the establishment, implementation, and maintenance of the internal control system are the responsibility of its Board of Directors and senior management.  </w:t>
      </w:r>
    </w:p>
    <w:p w14:paraId="76636B94" w14:textId="77777777" w:rsidR="0058308F"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(2) The disclosures above regarding the internal control system are true and accurate.</w:t>
      </w:r>
    </w:p>
    <w:p w14:paraId="5F23168F" w14:textId="77777777" w:rsidR="0058308F"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(3) The Company undertakes to continuously enhance its internal control system in response to changes in the market environment and its own development.</w:t>
      </w:r>
    </w:p>
    <w:p w14:paraId="60254749" w14:textId="77777777" w:rsidR="0058308F" w:rsidRPr="000D3C71" w:rsidRDefault="00953439" w:rsidP="002C372A">
      <w:pPr>
        <w:pStyle w:val="Heading3"/>
        <w:rPr>
          <w:rFonts w:ascii="Arial" w:hAnsi="Arial" w:cs="Arial"/>
        </w:rPr>
      </w:pPr>
      <w:bookmarkStart w:id="37" w:name="_Toc340435588"/>
      <w:bookmarkStart w:id="38" w:name="_Toc340435518"/>
      <w:bookmarkStart w:id="39" w:name="_Toc329633089"/>
      <w:bookmarkStart w:id="40" w:name="_Toc127083917"/>
      <w:bookmarkStart w:id="41" w:name="_Toc211640919"/>
      <w:r w:rsidRPr="000D3C71">
        <w:rPr>
          <w:rFonts w:ascii="Arial" w:hAnsi="Arial" w:cs="Arial"/>
          <w:bCs/>
          <w:lang w:val="en"/>
        </w:rPr>
        <w:t>IV. Fund Custodian</w:t>
      </w:r>
      <w:bookmarkEnd w:id="37"/>
      <w:bookmarkEnd w:id="38"/>
      <w:bookmarkEnd w:id="39"/>
      <w:bookmarkEnd w:id="40"/>
      <w:bookmarkEnd w:id="41"/>
    </w:p>
    <w:p w14:paraId="112CA579"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 xml:space="preserve">(I) Basic Information of the Fund Custodian </w:t>
      </w:r>
    </w:p>
    <w:p w14:paraId="78D4C049"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Name: Industrial and Commercial Bank of China Limited</w:t>
      </w:r>
    </w:p>
    <w:p w14:paraId="14E1AC9B"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Registered Address: 55 Fuxingmennei Street, Xicheng District, Beijing</w:t>
      </w:r>
    </w:p>
    <w:p w14:paraId="30A761FE"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Date of Establishment: January 1, 1984</w:t>
      </w:r>
    </w:p>
    <w:p w14:paraId="20672325"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Legal Representative: LIAO Lin</w:t>
      </w:r>
    </w:p>
    <w:p w14:paraId="2FBBFC10"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Registered Capital: RMB356,406,257,089</w:t>
      </w:r>
    </w:p>
    <w:p w14:paraId="59C1BF70"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Telephone: 010-66105799</w:t>
      </w:r>
    </w:p>
    <w:p w14:paraId="78DA0C6B"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Contact Person: GUO Ming</w:t>
      </w:r>
    </w:p>
    <w:p w14:paraId="601B51D1"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(II) Information on Key Personnel</w:t>
      </w:r>
    </w:p>
    <w:p w14:paraId="131E9CF7"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 xml:space="preserve">As of December 2024, the Industrial and Commercial Bank of China (ICBC) Asset Custody Department has a total of 208 employees with an average age of 38. Over 99% of employees hold a bachelor's degree or above, and senior management personnel all possess postgraduate degrees or senior professional qualifications. </w:t>
      </w:r>
    </w:p>
    <w:p w14:paraId="187861A3"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(III) Fund Custody Business Operations</w:t>
      </w:r>
    </w:p>
    <w:p w14:paraId="5D465CA4"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As a pioneer in custody services in the Chinese mainland, ICBC has been providing custody services since 1998. Upholding the principles of "integrity, trustworthiness, diligence, and due care," ICBC relies on a rigorous and scientific risk management and internal control system, standardized management models, advanced operating systems, and a professional service team to strictly fulfill its responsibilities as a custodian. It provides secure, efficient, and professional custody services to a wide range of domestic and foreign investors, financial asset management institutions, and corporate clients, demonstrating an outstanding market image and influence. Its extensive range of custody products encompasses securities investment funds, trust assets, insurance assets, social security funds, basic pension insurance, enterprise annuity funds, QFII assets, QDII assets, equity investment funds, securities company collective asset management plans, securities company directed asset management plans, commercial bank loan asset securitization, fund company segregated client asset management, QDII segregated account assets, and ESCROW services. Furthermore, ICBC has been the first in the country to offer value-added services like performance evaluation and risk management, providing personalized custodial services to various clients. As of December 2024, ICBC acts as custodian for 1,442 securities investment funds. Since 2003, ICBC has received 105 "Best Custodian Bank" awards over 21 consecutive years from prominent domestic and international financial media outlets, including Asiamoney (Hong Kong), Global Custodian (UK), The Asset (Hong Kong), Global Finance (US), Securities Times (China), and Shanghai Securities Journal (China). As the recipient of the most awards among domestic custodian banks, its exceptional service quality continues to receive recognition and acclaim within the global financial industry.</w:t>
      </w:r>
    </w:p>
    <w:p w14:paraId="6F5CE2C8"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(IV) The Fund Custodian's Internal Controls</w:t>
      </w:r>
    </w:p>
    <w:p w14:paraId="5974FF60"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The ICBC Asset Custody Department has has built its internal risk control system for the custody business in accordance with the internationally recognized COSO framework, structuring it around the five components of the Internal Environment, Risk Assessment, Control Activities, Information &amp; Communication, and Monitoring &amp; Evaluation. This system has been incorporated into the bank's unified risk management framework.</w:t>
      </w:r>
    </w:p>
    <w:p w14:paraId="7875F54A"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Since its establishment, the ICBC Asset Custody Department has always adhered to the principle of standardized operations, making a systematic and efficient risk prevention and control system a top priority. As the market environment evolves and the custody business rapidly expands, new challenges and circumstances continually arise. The Asset Custody Department has consistently placed risk management on equal footing with business development, regarding risk prevention and control as the lifeline for the survival and growth of its custody operations. The department implements organization-wide risk management, assigning risk control responsibilities to specific business units and relevant roles. Every employee is responsible for the risks within their own scope of duties. Since 2005, the ICBC Asset Custody Department has successfully passed the ISAE 3402 review, the most authoritative assessment of an organization’s internal controls and security measures, for a total of eighteen times, each time receiving an unqualified opinion on its controls and their operating effectiveness. This fully demonstrates independent third-party recognition of the soundness and effectiveness of ICBC’s custody services in risk management and internal control, and further proves that ICBC’s risk control capabilities for custody services are on par with those of major international custodian banks, having reached an advanced international level.</w:t>
      </w:r>
    </w:p>
    <w:p w14:paraId="60501BE8"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1. Internal Control Objectives</w:t>
      </w:r>
    </w:p>
    <w:p w14:paraId="7C4B6F37"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(1) To ensure the legality and regulatory compliance of asset custody business operations and management;</w:t>
      </w:r>
    </w:p>
    <w:p w14:paraId="74F68C4F"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(2) To promote the achievement of the strategic and business objectives of the asset custody business;</w:t>
      </w:r>
    </w:p>
    <w:p w14:paraId="3171B24E"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(3) To ensure the effectiveness of risk management for the asset custody business and the security of assets;</w:t>
      </w:r>
    </w:p>
    <w:p w14:paraId="71D21AB2"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(4) To enhance the efficiency and effectiveness of asset custody operations.</w:t>
      </w:r>
    </w:p>
    <w:p w14:paraId="24571FFE"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(5) To ensure the authenticity, accuracy, completeness, and timeliness of business records, accounting information, and other information relevant to operations and management.</w:t>
      </w:r>
    </w:p>
    <w:p w14:paraId="3D731A88"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2. Principles of Internal Control</w:t>
      </w:r>
    </w:p>
    <w:p w14:paraId="03CDA349"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(1) Comprehensiveness: Internal controls for the asset custody business shall be integrated throughout the entire process of decision-making, execution, and supervision, covering all business processes and management activities, as well as all institutions, departments, and personnel.</w:t>
      </w:r>
    </w:p>
    <w:p w14:paraId="02FDCCC3"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(2) Materiality: While maintaining comprehensive controls, internal controls for the asset custody business shall focus on important business matters, key operational links, and high-risk areas.</w:t>
      </w:r>
    </w:p>
    <w:p w14:paraId="5DA512E1"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(3) Checks and Balances: Internal controls for the asset custody business shall establish mechanisms of mutual checks and supervision in areas such as organizational structure, allocation of authority and responsibility, and business processes, while also taking into account operational efficiency.</w:t>
      </w:r>
    </w:p>
    <w:p w14:paraId="20D22ADE"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(4) Adaptability: Internal controls for the asset custody business shall be commensurate with the scale of operations, scope of business, and risk characteristics, and shall be dynamically adjusted to achieve internal control objectives at a reasonable cost.</w:t>
      </w:r>
    </w:p>
    <w:p w14:paraId="39C34B0F"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(5) Prudence: Internal controls for the asset custody business shall adhere to a risk-based and prudent management philosophy, with internal control taking priority in the establishment of institutions or the conduct of all business and management activities.</w:t>
      </w:r>
    </w:p>
    <w:p w14:paraId="14235212"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(6) Cost-effectiveness: Internal controls for the asset custody business shall balance implementation costs with anticipated benefits, achieving effective control at a reasonable cost.</w:t>
      </w:r>
    </w:p>
    <w:p w14:paraId="2A104B4A"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3. Internal Control Organizational Structure</w:t>
      </w:r>
    </w:p>
    <w:p w14:paraId="4E252C0D"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Internal controls for the asset custody business are incorporated into the bank’s unified, bank-wide internal control system.</w:t>
      </w:r>
    </w:p>
    <w:p w14:paraId="0317C438"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(1) The Head Office Asset Custody Department, in accordance with the bank's basic internal control regulations, establishes and perfects the internal control system for the asset custody business. As the lead management department for custody services across the bank, it establishes an internal control operating mechanism suited to the custody business line, identifies risk control points in all business activities, and formulates standardized, unified business rules. It adopts appropriate control measures to reasonably ensure the efficiency and effectiveness of custody business processes, organizes the implementation, supervision, and inspection of internal control measures for the asset custody business, and urges all institutions to implement such measures.</w:t>
      </w:r>
    </w:p>
    <w:p w14:paraId="41CF557C"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(2) The Head Office Internal Control and Compliance Department is responsible for guiding the internal control management of the custody business. Based on annual priorities, it conducts regular or ad hoc supervisory inspections across the bank, integrates custody business inspection items into the bank-wide business supervision and inspection work, and includes the entire bank's custody business within the internal control evaluation system.</w:t>
      </w:r>
    </w:p>
    <w:p w14:paraId="4A0F5848"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The Head Office Internal Audit Bureau is responsible for auditing and evaluating the asset custody business.</w:t>
      </w:r>
    </w:p>
    <w:p w14:paraId="49BA91A8"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(4) Tier-1 (directly affiliated) branch asset custody departments, as the executive bodies for internal control, are responsible for organizing the daily operation and self-inspection of internal controls within their respective institutions, and for promptly rectifying, correcting, and addressing any identified issues.</w:t>
      </w:r>
    </w:p>
    <w:p w14:paraId="1572A929"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4. Internal Control Measures</w:t>
      </w:r>
    </w:p>
    <w:p w14:paraId="6AD0362D"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The ICBC Asset Custody Department attaches great importance to the development of its internal control system and is committed to integrating risk prevention and control concepts and methods into job responsibilities, system development, and work processes. It has established a comprehensive internal control system of rules, including the Provisions on the Administration of Asset Custody Business, Measures for the Administration of Internal Controls for Asset Custody Business, Measures for Comprehensive Risk Management of Asset Custody Business, Measures for the Administration of Operations for Asset Custody Business, Measures for the Administration of Contracts for Asset Custody Business, Measures for the Administration of Archives for Asset Custody Business, Measures for the Administration of Systems for Asset Custody Business, the Contingency Plan for Major Emergencies in Asset Custody Business, and Measures for the Administration of Personnel in Asset Custody Business. Internal control measures are implemented across all aspects, including the control environment, rules and regulations, processes, job responsibilities, personnel, authorization, innovation, contracts, seals, service quality, fees, anti-money laundering, conflict of interest prevention, business continuity, performance evaluation, and information systems.</w:t>
      </w:r>
    </w:p>
    <w:p w14:paraId="50BB4399"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 xml:space="preserve">5. Risk Control </w:t>
      </w:r>
    </w:p>
    <w:p w14:paraId="3B1D2A1C"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The asset custody business effectively fulfills its primary responsibility as the first line of defense in risk management. In accordance with the management philosophy of “proactive prevention, intelligent control, and comprehensive management,” it actively integrates asset custody risk management into the bank’s bank-wide comprehensive risk management framework. Focusing on “controlling personnel, controlling funds, safeguarding defense lines, and securing the bottom line,” it has established a risk management structure tailored to the specific characteristics of the custody business. Through initiatives such as advancing reforms to the custody business system and perfecting centralized operations, establishing an Asset Custody Risk Management Committee, improving the custody business policy framework, building a robust custody business team, leveraging technology, developing a comprehensive emergency and disaster recovery system, maintaining a ledger for the rectification of audit findings, and enhancing personnel management, it effectively manages operational risk, compliance risk, reputational risk, information technology risk, and secondary risks.</w:t>
      </w:r>
    </w:p>
    <w:p w14:paraId="68E552BB"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6. Business Continuity Assurance</w:t>
      </w:r>
    </w:p>
    <w:p w14:paraId="40A3B29D"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ICBC has developed a comprehensive business continuity plan and contingency plans for its asset custody business. The bank maintains effective disaster recovery solutions, sufficient mobile office equipment, backup office premises combining same-city and different-city sites, necessary personnel, a scientifically designed and clear A/B role system, and a regular drill mechanism. In the event of a major unexpected incident, the impact on custody business continuity is assessed, and, based on this assessment, one of four contingency responses may be promptly selected or sequentially initiated: “original site on-site + work from home,” “partial same-city off-site + work from home,” “partial different-city off-site + work from home,” or “complete switchover to a different-city site.” This “Head Office + Head Office-level Operations Center + Custody Branches + Overseas Operations Entities” structure forms a global, round-the-clock operational network, enabling the continuous delivery of services to clients and ensuring the timely clearing and settlement of daily transactions for custody products.</w:t>
      </w:r>
    </w:p>
    <w:p w14:paraId="63081357"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(V) Methods and Procedures for the Fund Custodian's Supervision of the Fund Manager's Operations</w:t>
      </w:r>
    </w:p>
    <w:p w14:paraId="47DAD66F"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In accordance with the provisions of the Fund Law, the Fund Contract, the Custody Agreement, and other relevant laws and regulations, the Fund Custodian shall supervise and verify matters including: the Fund's investment scope and investment targets, investment and financing ratios, prohibited investment activities, participation in the interbank bond market, calculation of the NAV of the Fund, calculation of the NAV per Unit, receipt of funds receivable, determination of the Fund's expenses and income, distribution of Fund income, relevant information disclosure, and fund performance data published in promotional and marketing materials. Supervision and verification of the Fund's investment ratios shall commence six months after the Fund Contract becomes effective.</w:t>
      </w:r>
    </w:p>
    <w:p w14:paraId="31613465"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If the Fund Custodian discovers that the Fund Manager has violated the Fund Law, the Fund Contract, the Custody Agreement, or any other relevant fund laws and regulations, it shall promptly notify the Fund Manager in writing to rectify the issue within a specified time limit. Upon receiving the notice, the Fund Manager shall promptly verify the matter and send a written reply to the Fund Custodian for confirmation. Within the specified time limit, the Fund Custodian has the right to review the notified matter at any time and urge the Fund Manager to make the correction. If the Fund Manager fails to rectify the violation notified by the Fund Custodian within the specified time limit, the Fund Custodian shall report the matter to the CSRC.</w:t>
      </w:r>
    </w:p>
    <w:p w14:paraId="7923D8E2" w14:textId="77777777" w:rsidR="00824725" w:rsidRPr="000D3C71" w:rsidRDefault="00953439">
      <w:pPr>
        <w:spacing w:line="360" w:lineRule="auto"/>
        <w:ind w:firstLineChars="200" w:firstLine="420"/>
        <w:rPr>
          <w:rFonts w:ascii="Arial" w:hAnsi="Arial" w:cs="Arial"/>
        </w:rPr>
      </w:pPr>
      <w:r w:rsidRPr="000D3C71">
        <w:rPr>
          <w:rFonts w:ascii="Arial" w:hAnsi="Arial" w:cs="Arial"/>
          <w:lang w:val="en"/>
        </w:rPr>
        <w:t>If the Fund Custodian discovers a material violation by the Fund Manager, it shall immediately report the matter to the CSRC and simultaneously notify the Fund Manager to rectify it within a specified time limit.</w:t>
      </w:r>
    </w:p>
    <w:p w14:paraId="6F446044" w14:textId="77777777" w:rsidR="0058308F" w:rsidRPr="000D3C71" w:rsidRDefault="00953439" w:rsidP="002C372A">
      <w:pPr>
        <w:pStyle w:val="Heading3"/>
        <w:rPr>
          <w:rFonts w:ascii="Arial" w:hAnsi="Arial" w:cs="Arial"/>
        </w:rPr>
      </w:pPr>
      <w:bookmarkStart w:id="42" w:name="_Toc340435589"/>
      <w:bookmarkStart w:id="43" w:name="_Toc340435519"/>
      <w:bookmarkStart w:id="44" w:name="_Toc329633090"/>
      <w:bookmarkStart w:id="45" w:name="_Toc127083918"/>
      <w:bookmarkStart w:id="46" w:name="_Toc211640920"/>
      <w:r w:rsidRPr="000D3C71">
        <w:rPr>
          <w:rFonts w:ascii="Arial" w:hAnsi="Arial" w:cs="Arial"/>
          <w:bCs/>
          <w:lang w:val="en"/>
        </w:rPr>
        <w:t>V. Relevant Service Agencies</w:t>
      </w:r>
      <w:bookmarkEnd w:id="42"/>
      <w:bookmarkEnd w:id="43"/>
      <w:bookmarkEnd w:id="44"/>
      <w:bookmarkEnd w:id="45"/>
      <w:bookmarkEnd w:id="46"/>
    </w:p>
    <w:p w14:paraId="2D2E0ECF" w14:textId="77777777" w:rsidR="0058308F"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(1) Fund Unit Distributors</w:t>
      </w:r>
    </w:p>
    <w:p w14:paraId="5AFAE9A6" w14:textId="77777777" w:rsidR="00CE4808"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1. Authorized Participants (“Primary Dealers”)</w:t>
      </w:r>
    </w:p>
    <w:p w14:paraId="66E265F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(1) ) Guotai Haitong Securities Co., Ltd</w:t>
      </w:r>
    </w:p>
    <w:p w14:paraId="166E745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618 Shangcheng Road, China (Shanghai) Pilot Free Trade Zone</w:t>
      </w:r>
    </w:p>
    <w:p w14:paraId="267235F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Guotai Junan Building, 768 Nanjing West Road, Jing'an District, Shanghai</w:t>
      </w:r>
    </w:p>
    <w:p w14:paraId="068D81C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HE Qing</w:t>
      </w:r>
    </w:p>
    <w:p w14:paraId="7DB86D7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021-38676666</w:t>
      </w:r>
    </w:p>
    <w:p w14:paraId="274CFEB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021-38670666</w:t>
      </w:r>
    </w:p>
    <w:p w14:paraId="4FD5B0F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HUANG Boming</w:t>
      </w:r>
    </w:p>
    <w:p w14:paraId="53F3BE5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www.gtht.com</w:t>
      </w:r>
    </w:p>
    <w:p w14:paraId="48D8EC3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95521</w:t>
      </w:r>
    </w:p>
    <w:p w14:paraId="44E9C13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(2) CSC Financial Co., Ltd.</w:t>
      </w:r>
    </w:p>
    <w:p w14:paraId="56A5EAF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Building 4, 66 Anli Road, Chaoyang District, Beijing</w:t>
      </w:r>
    </w:p>
    <w:p w14:paraId="3632ED7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10 Guanghua Road, Chaoyang District, Beijing</w:t>
      </w:r>
    </w:p>
    <w:p w14:paraId="5ACD379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WANG Changqing</w:t>
      </w:r>
    </w:p>
    <w:p w14:paraId="0DD96BC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010-65182261</w:t>
      </w:r>
    </w:p>
    <w:p w14:paraId="69086A5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QUAN Tang</w:t>
      </w:r>
    </w:p>
    <w:p w14:paraId="02E361A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www.csc108.com</w:t>
      </w:r>
    </w:p>
    <w:p w14:paraId="6826B87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95587, 4008-888-108</w:t>
      </w:r>
    </w:p>
    <w:p w14:paraId="307F4A7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(3) Guosen Securities Co., Ltd.</w:t>
      </w:r>
    </w:p>
    <w:p w14:paraId="1E582ED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Floors 16-26, Guosen Securities Tower, 1012 Hongling Middle Road, Luohu District, Shenzhen</w:t>
      </w:r>
    </w:p>
    <w:p w14:paraId="3809BAC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21/F, International Trust Building, 1010 Hongling Middle Road, Luohu District, Shenzhen</w:t>
      </w:r>
    </w:p>
    <w:p w14:paraId="684E775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ZHANG Nasha</w:t>
      </w:r>
    </w:p>
    <w:p w14:paraId="2545672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0755-82130833</w:t>
      </w:r>
    </w:p>
    <w:p w14:paraId="72920FA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0755-82133952</w:t>
      </w:r>
    </w:p>
    <w:p w14:paraId="686ED85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YU Zhiyong</w:t>
      </w:r>
    </w:p>
    <w:p w14:paraId="7F6DC89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www.guosen.com.cn</w:t>
      </w:r>
    </w:p>
    <w:p w14:paraId="31B4F39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95536</w:t>
      </w:r>
    </w:p>
    <w:p w14:paraId="05F0C9D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(4) China Merchants Securities Co., Ltd.</w:t>
      </w:r>
    </w:p>
    <w:p w14:paraId="017BC72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111 Fuhua 1st Road, Futian Street, Futian District, Shenzhen</w:t>
      </w:r>
    </w:p>
    <w:p w14:paraId="0493BD5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111 Fuhua 1st Road, Futian Street, Futian District, Shenzhen</w:t>
      </w:r>
    </w:p>
    <w:p w14:paraId="32D2B55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HUO Da</w:t>
      </w:r>
    </w:p>
    <w:p w14:paraId="588321E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0755-82943666</w:t>
      </w:r>
    </w:p>
    <w:p w14:paraId="39B77E6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0755-82943636</w:t>
      </w:r>
    </w:p>
    <w:p w14:paraId="4F7A214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HUANG Jian</w:t>
      </w:r>
    </w:p>
    <w:p w14:paraId="1B5B2FB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www.cmschina.com</w:t>
      </w:r>
    </w:p>
    <w:p w14:paraId="1441EBD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95565</w:t>
      </w:r>
    </w:p>
    <w:p w14:paraId="4001CD6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(5) GF Securities Co., Ltd.</w:t>
      </w:r>
    </w:p>
    <w:p w14:paraId="2031E60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Room 618, 2 Tengfei 1st Street, Sino-Singapore Guangzhou Knowledge City, Huangpu District, Guangzhou, Guangdong Province</w:t>
      </w:r>
    </w:p>
    <w:p w14:paraId="355151F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36/F, GF Securities Tower, 26 Machang Road, Tianhe District, Guangzhou</w:t>
      </w:r>
    </w:p>
    <w:p w14:paraId="0BC21A8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LIN Chuanhui</w:t>
      </w:r>
    </w:p>
    <w:p w14:paraId="3081079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020-66336146</w:t>
      </w:r>
    </w:p>
    <w:p w14:paraId="610DBF9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020-87555417</w:t>
      </w:r>
    </w:p>
    <w:p w14:paraId="677BEE7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CHEN Shanshan</w:t>
      </w:r>
    </w:p>
    <w:p w14:paraId="1878AA5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www.gf.com.cn</w:t>
      </w:r>
    </w:p>
    <w:p w14:paraId="682CAF2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95575</w:t>
      </w:r>
    </w:p>
    <w:p w14:paraId="1547CD8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(6) CITIC Securities Co., Ltd</w:t>
      </w:r>
    </w:p>
    <w:p w14:paraId="7EA35DA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North Tower, Excellence Times Plaza (Phase II), 8 Zhongxin 3rd Road, Futian District, Shenzhen, Guangdong Province</w:t>
      </w:r>
    </w:p>
    <w:p w14:paraId="5C4D75D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CITIC Securities Tower, 48 Liangmaqiao Road, Chaoyang District, Beijing</w:t>
      </w:r>
    </w:p>
    <w:p w14:paraId="22AE716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ZHANG Youjun</w:t>
      </w:r>
    </w:p>
    <w:p w14:paraId="1940598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010-60838888</w:t>
      </w:r>
    </w:p>
    <w:p w14:paraId="54B747D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010-60836029</w:t>
      </w:r>
    </w:p>
    <w:p w14:paraId="164CCF7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ZHENG Hui</w:t>
      </w:r>
    </w:p>
    <w:p w14:paraId="1BC0BEF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www.cs.ecitic.com</w:t>
      </w:r>
    </w:p>
    <w:p w14:paraId="4C6AA0F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95548</w:t>
      </w:r>
    </w:p>
    <w:p w14:paraId="31ADBCA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 xml:space="preserve">(7) China Galaxy Securities Co., Ltd. </w:t>
      </w:r>
    </w:p>
    <w:p w14:paraId="712C4BB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101, Floors 7-18, Building 1, Compound 8, Xiying Street, Fengtai District, Beijing</w:t>
      </w:r>
    </w:p>
    <w:p w14:paraId="4B61393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Qinghai Financial Building, Block 1, Compound 8, Xiying Street, Fengtai District, Beijing</w:t>
      </w:r>
    </w:p>
    <w:p w14:paraId="6BDBEFE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WANG Sheng</w:t>
      </w:r>
    </w:p>
    <w:p w14:paraId="6F90633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010-80928123</w:t>
      </w:r>
    </w:p>
    <w:p w14:paraId="113B023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010-66568990</w:t>
      </w:r>
    </w:p>
    <w:p w14:paraId="1FD175C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XIN Guozheng</w:t>
      </w:r>
    </w:p>
    <w:p w14:paraId="419F9BF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www.chinastock.com.cn</w:t>
      </w:r>
    </w:p>
    <w:p w14:paraId="23305D8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4008-888-888 or 95551</w:t>
      </w:r>
    </w:p>
    <w:p w14:paraId="1180E05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(8) Haitong Securities Co., Ltd.</w:t>
      </w:r>
    </w:p>
    <w:p w14:paraId="182BD48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689 Guangdong Road, Huangpu District, Shanghai</w:t>
      </w:r>
    </w:p>
    <w:p w14:paraId="648443B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689 Guangdong Road, Huangpu District, Shanghai</w:t>
      </w:r>
    </w:p>
    <w:p w14:paraId="412677B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ZHOU Jie</w:t>
      </w:r>
    </w:p>
    <w:p w14:paraId="7BCB256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021-23219000</w:t>
      </w:r>
    </w:p>
    <w:p w14:paraId="3B65F72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021-63410456</w:t>
      </w:r>
    </w:p>
    <w:p w14:paraId="51C7187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JIN Yun, LI Xiaoming</w:t>
      </w:r>
    </w:p>
    <w:p w14:paraId="5E03494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www.htsec.com</w:t>
      </w:r>
    </w:p>
    <w:p w14:paraId="3F1F08C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95553, 400-888-8001</w:t>
      </w:r>
    </w:p>
    <w:p w14:paraId="24A087E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(9) Shenwan Hongyuan Securities Co., Ltd.</w:t>
      </w:r>
    </w:p>
    <w:p w14:paraId="3D8B231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45/F, 989 Changle Road, Xuhui District, Shanghai</w:t>
      </w:r>
    </w:p>
    <w:p w14:paraId="1DCE896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45/F, 989 Changle Road, Xuhui District, Shanghai (200031)</w:t>
      </w:r>
    </w:p>
    <w:p w14:paraId="17799F3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YANG Yucheng</w:t>
      </w:r>
    </w:p>
    <w:p w14:paraId="2FDDCB5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021-33389888</w:t>
      </w:r>
    </w:p>
    <w:p w14:paraId="6ACD76B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021-33388224</w:t>
      </w:r>
    </w:p>
    <w:p w14:paraId="6750C66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YU Jie</w:t>
      </w:r>
    </w:p>
    <w:p w14:paraId="20D7B7E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www.swhysc.com</w:t>
      </w:r>
    </w:p>
    <w:p w14:paraId="0EB60C8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95523, 400-889-5523</w:t>
      </w:r>
    </w:p>
    <w:p w14:paraId="790A7B9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(10) Industrial Securities Co., Ltd.</w:t>
      </w:r>
    </w:p>
    <w:p w14:paraId="2233473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268 Hudong Road, Fuzhou</w:t>
      </w:r>
    </w:p>
    <w:p w14:paraId="243ECA4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36 Changliu Road, Pudong New Area, Shanghai</w:t>
      </w:r>
    </w:p>
    <w:p w14:paraId="17E3482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YANG Huahui</w:t>
      </w:r>
    </w:p>
    <w:p w14:paraId="0554071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021-38565547</w:t>
      </w:r>
    </w:p>
    <w:p w14:paraId="03A1C28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021-38565955</w:t>
      </w:r>
    </w:p>
    <w:p w14:paraId="6FB1349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QIAO Linxue</w:t>
      </w:r>
    </w:p>
    <w:p w14:paraId="7C3CA7B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www.xyzq.com.cn</w:t>
      </w:r>
    </w:p>
    <w:p w14:paraId="3DFA8C9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95562</w:t>
      </w:r>
    </w:p>
    <w:p w14:paraId="4FF1565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(11) Changjiang Securities Co., Ltd.</w:t>
      </w:r>
    </w:p>
    <w:p w14:paraId="788A831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Changjiang Securities Building, 8 Xinhua Road Special, Wuhan</w:t>
      </w:r>
    </w:p>
    <w:p w14:paraId="74D35B9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Changjiang Securities Building, 8 Xinhua Road Special, Wuhan</w:t>
      </w:r>
    </w:p>
    <w:p w14:paraId="6B6CF0F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YANG Zezhu</w:t>
      </w:r>
    </w:p>
    <w:p w14:paraId="4D660AF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027-65799999</w:t>
      </w:r>
    </w:p>
    <w:p w14:paraId="5EBFF66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027-85481900</w:t>
      </w:r>
    </w:p>
    <w:p w14:paraId="055CC89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LI Liang</w:t>
      </w:r>
    </w:p>
    <w:p w14:paraId="5388871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www.95579.com</w:t>
      </w:r>
    </w:p>
    <w:p w14:paraId="37B3AB0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95579, 400-888-8999</w:t>
      </w:r>
    </w:p>
    <w:p w14:paraId="02B57A2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(12) SDIC Securities Co., Ltd.</w:t>
      </w:r>
    </w:p>
    <w:p w14:paraId="071AC8C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Essence Financial Building, 119 Fuhua 1st Road, Futian Street, Futian District, Shenzhen</w:t>
      </w:r>
    </w:p>
    <w:p w14:paraId="2995927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Essence Financial Building, 119 Fuhua 1st Road, Futian Street, Futian District, Shenzhen</w:t>
      </w:r>
    </w:p>
    <w:p w14:paraId="6A21196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DUAN Wenwu</w:t>
      </w:r>
    </w:p>
    <w:p w14:paraId="12D8F6E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0755-81688000</w:t>
      </w:r>
    </w:p>
    <w:p w14:paraId="2885A43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0755-81688090</w:t>
      </w:r>
    </w:p>
    <w:p w14:paraId="29F880D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CHEN Jianhong</w:t>
      </w:r>
    </w:p>
    <w:p w14:paraId="3D742CF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www.sdicsc.com.cn</w:t>
      </w:r>
    </w:p>
    <w:p w14:paraId="2CEE170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95517</w:t>
      </w:r>
    </w:p>
    <w:p w14:paraId="44F59DA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(13) Southwest Securities Co., Ltd.</w:t>
      </w:r>
    </w:p>
    <w:p w14:paraId="1DAE58D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8 Qiaobeiyuan, Jiangbei District, Chongqing</w:t>
      </w:r>
    </w:p>
    <w:p w14:paraId="449371B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Southwest Securities Building, 8 Qiaobeiyuan, Jiangbei District, Chongqing</w:t>
      </w:r>
    </w:p>
    <w:p w14:paraId="677E877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LIAO Qingxuan</w:t>
      </w:r>
    </w:p>
    <w:p w14:paraId="7C1FE87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023-67663104</w:t>
      </w:r>
    </w:p>
    <w:p w14:paraId="6F25662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023-63786212</w:t>
      </w:r>
    </w:p>
    <w:p w14:paraId="08CCF96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WEI Xinyi</w:t>
      </w:r>
    </w:p>
    <w:p w14:paraId="3A88BB6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www.swsc.com.cn</w:t>
      </w:r>
    </w:p>
    <w:p w14:paraId="2A8A809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95355</w:t>
      </w:r>
    </w:p>
    <w:p w14:paraId="1E72F0D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 xml:space="preserve">(14) Xiangcai Securities Co., Ltd. </w:t>
      </w:r>
    </w:p>
    <w:p w14:paraId="3A8E9B2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11/F, Building A, Xinnancheng Business Center, 198 Xiangfu Middle Road, Tianxin District, Changsha, Hunan Province</w:t>
      </w:r>
    </w:p>
    <w:p w14:paraId="0BE4389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5/F, China Huaneng United Tower, 958 Lujiazui Ring Road, Pudong New Area, Shanghai</w:t>
      </w:r>
    </w:p>
    <w:p w14:paraId="4D5AA1A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GAO Zhenying</w:t>
      </w:r>
    </w:p>
    <w:p w14:paraId="28F8B6D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021-50295432</w:t>
      </w:r>
    </w:p>
    <w:p w14:paraId="688A7BB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021-68865680</w:t>
      </w:r>
    </w:p>
    <w:p w14:paraId="23B9FF9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JIANG Enqian</w:t>
      </w:r>
    </w:p>
    <w:p w14:paraId="319010D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www.xcsc.com</w:t>
      </w:r>
    </w:p>
    <w:p w14:paraId="7EE2C3A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95351</w:t>
      </w:r>
    </w:p>
    <w:p w14:paraId="5C7986D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(15) Wanlian Securities Co., Ltd.</w:t>
      </w:r>
    </w:p>
    <w:p w14:paraId="3D36823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18/F and 19/F, 11 Zhujiang East Road, Tianhe District, Guangzhou</w:t>
      </w:r>
    </w:p>
    <w:p w14:paraId="6F2DE32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12/F, Building E, Gaode Landmark Plaza, 13 Zhujiang East Road, Tianhe District, Guangzhou, Guangdong Province</w:t>
      </w:r>
    </w:p>
    <w:p w14:paraId="4E7015F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YUAN Xiaoyi</w:t>
      </w:r>
    </w:p>
    <w:p w14:paraId="3D07E45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020-38286588</w:t>
      </w:r>
    </w:p>
    <w:p w14:paraId="72CF091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020-22373718-1013</w:t>
      </w:r>
    </w:p>
    <w:p w14:paraId="0B9C6F0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WANG Xin</w:t>
      </w:r>
    </w:p>
    <w:p w14:paraId="0B5C37E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www.wlzq.cn</w:t>
      </w:r>
    </w:p>
    <w:p w14:paraId="6BD8B8D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95322</w:t>
      </w:r>
    </w:p>
    <w:p w14:paraId="7438AF0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(16) Minsheng Securities Co., Ltd.</w:t>
      </w:r>
    </w:p>
    <w:p w14:paraId="3D9EA68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Floors 16-20, Building A, Minsheng Financial Center, 28 Jianguomennei Street, Dongcheng District, Beijing</w:t>
      </w:r>
    </w:p>
    <w:p w14:paraId="0A67A24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Floors 16-20, Building A, Minsheng Financial Center, 28 Jianguomennei Street, Dongcheng District, Beijing</w:t>
      </w:r>
    </w:p>
    <w:p w14:paraId="44C91C5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FENG Henian</w:t>
      </w:r>
    </w:p>
    <w:p w14:paraId="7251F9D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010-85127609</w:t>
      </w:r>
    </w:p>
    <w:p w14:paraId="4DE9C58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010-85127641</w:t>
      </w:r>
    </w:p>
    <w:p w14:paraId="1C4CB18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HAN Xiuping</w:t>
      </w:r>
    </w:p>
    <w:p w14:paraId="454352D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www.mszq.com</w:t>
      </w:r>
    </w:p>
    <w:p w14:paraId="42CD26C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95376</w:t>
      </w:r>
    </w:p>
    <w:p w14:paraId="53551D4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(17) Guoyuan Securities Co., Ltd.</w:t>
      </w:r>
    </w:p>
    <w:p w14:paraId="0351BC4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179 Shouchun Road, Hefei, Anhui Province</w:t>
      </w:r>
    </w:p>
    <w:p w14:paraId="71B00D0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179 Shouchun Road, Hefei, Anhui Province</w:t>
      </w:r>
    </w:p>
    <w:p w14:paraId="09F1030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CAI Yong</w:t>
      </w:r>
    </w:p>
    <w:p w14:paraId="7E0E6F4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0551-62257012</w:t>
      </w:r>
    </w:p>
    <w:p w14:paraId="0ACFA5B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0551-62272100</w:t>
      </w:r>
    </w:p>
    <w:p w14:paraId="5B1492C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ZHU Liping</w:t>
      </w:r>
    </w:p>
    <w:p w14:paraId="3F4FB27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www.gyzq.com.cn</w:t>
      </w:r>
    </w:p>
    <w:p w14:paraId="6F7E2E5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95578</w:t>
      </w:r>
    </w:p>
    <w:p w14:paraId="56C562E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(18) Bohai Securities Co., Ltd.</w:t>
      </w:r>
    </w:p>
    <w:p w14:paraId="6D71005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Room 101, Office Building, 42 Second Avenue, Tianjin Economic-Technological Development Area</w:t>
      </w:r>
    </w:p>
    <w:p w14:paraId="2326756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8 Binshui West Road, Nankai District, Tianjin</w:t>
      </w:r>
    </w:p>
    <w:p w14:paraId="1571BC3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AN Zhiyong</w:t>
      </w:r>
    </w:p>
    <w:p w14:paraId="474E69B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022-23861683</w:t>
      </w:r>
    </w:p>
    <w:p w14:paraId="263B56B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022-28451892</w:t>
      </w:r>
    </w:p>
    <w:p w14:paraId="4D7BA41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CHEN Yuhui</w:t>
      </w:r>
    </w:p>
    <w:p w14:paraId="1B53FEB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https://www.bhzq.com</w:t>
      </w:r>
    </w:p>
    <w:p w14:paraId="005FC14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956066</w:t>
      </w:r>
    </w:p>
    <w:p w14:paraId="74873C0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(19) Huatai Securities Co., Ltd.</w:t>
      </w:r>
    </w:p>
    <w:p w14:paraId="0316B3F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228 Jiangdong Middle Road, Nanjing</w:t>
      </w:r>
    </w:p>
    <w:p w14:paraId="190296F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Huatai Securities Plaza, 228 Jiangdong Middle Road, Jianye District, Nanjing</w:t>
      </w:r>
    </w:p>
    <w:p w14:paraId="13658CB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ZHOU Yi</w:t>
      </w:r>
    </w:p>
    <w:p w14:paraId="39D35DC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0755-82492193</w:t>
      </w:r>
    </w:p>
    <w:p w14:paraId="7CC1A8A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0755-82492962 (Shenzhen)</w:t>
      </w:r>
    </w:p>
    <w:p w14:paraId="2C71120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PANG Xiaoyun</w:t>
      </w:r>
    </w:p>
    <w:p w14:paraId="08CE338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www.htsc.com.cn</w:t>
      </w:r>
    </w:p>
    <w:p w14:paraId="699A608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95597</w:t>
      </w:r>
    </w:p>
    <w:p w14:paraId="62753F1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(20) Shanxi Securities Co., Ltd.</w:t>
      </w:r>
    </w:p>
    <w:p w14:paraId="4702CD8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East Tower, Shanxi International Trade Center, 69 Fuxi Street, Taiyuan, Shanxi Province</w:t>
      </w:r>
    </w:p>
    <w:p w14:paraId="5193319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East Tower, Shanxi International Trade Center, 69 Fuxi Street, Taiyuan, Shanxi Province</w:t>
      </w:r>
    </w:p>
    <w:p w14:paraId="16E1881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HOU Wei</w:t>
      </w:r>
    </w:p>
    <w:p w14:paraId="652F340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0351-8686703</w:t>
      </w:r>
    </w:p>
    <w:p w14:paraId="5EEB973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0351-8686619</w:t>
      </w:r>
    </w:p>
    <w:p w14:paraId="0F149B9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ZHANG Zhiguo</w:t>
      </w:r>
    </w:p>
    <w:p w14:paraId="24A24A8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www.i618.com.cn</w:t>
      </w:r>
    </w:p>
    <w:p w14:paraId="0110C50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95573</w:t>
      </w:r>
    </w:p>
    <w:p w14:paraId="7B635DA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(21) CITIC Securities (Shandong) Co., Ltd.</w:t>
      </w:r>
    </w:p>
    <w:p w14:paraId="2E0DC8A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2001, Building 1, 222 Shenzhen Road, Laoshan District, Qingdao, Shandong Province</w:t>
      </w:r>
    </w:p>
    <w:p w14:paraId="61D6CDE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5/F, East Tower, Longxiang Plaza, 28 Donghai West Road, Shinan District, Qingdao</w:t>
      </w:r>
    </w:p>
    <w:p w14:paraId="08A736E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XIAO Haifeng</w:t>
      </w:r>
    </w:p>
    <w:p w14:paraId="11F2C13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0532-85725062</w:t>
      </w:r>
    </w:p>
    <w:p w14:paraId="28EA5D4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0532-85022605</w:t>
      </w:r>
    </w:p>
    <w:p w14:paraId="4208420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ZHAO Ruyi</w:t>
      </w:r>
    </w:p>
    <w:p w14:paraId="51DA085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sd.citics.com/</w:t>
      </w:r>
    </w:p>
    <w:p w14:paraId="347DFC5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95548</w:t>
      </w:r>
    </w:p>
    <w:p w14:paraId="60468B8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(22) Dongxing Securities Co., Ltd.</w:t>
      </w:r>
    </w:p>
    <w:p w14:paraId="0D64299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Floors 12-15, Building B, New Poly Plaza, 5 Financial Street, Xicheng District, Beijing</w:t>
      </w:r>
    </w:p>
    <w:p w14:paraId="569C546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Floors 12-15, Building B, New Poly Plaza, 5 Financial Street, Xicheng District, Beijing</w:t>
      </w:r>
    </w:p>
    <w:p w14:paraId="465DF4D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WEI Qinghua</w:t>
      </w:r>
    </w:p>
    <w:p w14:paraId="1D87A42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010-66555316</w:t>
      </w:r>
    </w:p>
    <w:p w14:paraId="77B0DB7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010-66555246</w:t>
      </w:r>
    </w:p>
    <w:p w14:paraId="56E0044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TANG Manchan</w:t>
      </w:r>
    </w:p>
    <w:p w14:paraId="6B11CDE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www.dxzq.net.cn</w:t>
      </w:r>
    </w:p>
    <w:p w14:paraId="2515A94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95309</w:t>
      </w:r>
    </w:p>
    <w:p w14:paraId="4B0CF5C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(23) Soochow Securities Co., Ltd.</w:t>
      </w:r>
    </w:p>
    <w:p w14:paraId="4B3D57A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181 Cuiyuan Road, Suzhou Industrial Park</w:t>
      </w:r>
    </w:p>
    <w:p w14:paraId="0B57F69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5 Xingyang Street, Suzhou Industrial Park</w:t>
      </w:r>
    </w:p>
    <w:p w14:paraId="489BA15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FAN Li</w:t>
      </w:r>
    </w:p>
    <w:p w14:paraId="1588B5E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0512-65581136</w:t>
      </w:r>
    </w:p>
    <w:p w14:paraId="38B76D6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0512-65588021</w:t>
      </w:r>
    </w:p>
    <w:p w14:paraId="6FEE013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FANG Xiaodan</w:t>
      </w:r>
    </w:p>
    <w:p w14:paraId="18B2205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www.dwzq.com.cn</w:t>
      </w:r>
    </w:p>
    <w:p w14:paraId="048F25F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95330</w:t>
      </w:r>
    </w:p>
    <w:p w14:paraId="02AF1F7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(24) Cinda Securities Co., Ltd.</w:t>
      </w:r>
    </w:p>
    <w:p w14:paraId="1357B3D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Building 1, 9 Naoshikou Avenue, Xicheng District, Beijing</w:t>
      </w:r>
    </w:p>
    <w:p w14:paraId="269ADFC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Building 1, Compound 9, Naoshikou Avenue, Xicheng District, Beijing</w:t>
      </w:r>
    </w:p>
    <w:p w14:paraId="1E87A74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XIAO Lin</w:t>
      </w:r>
    </w:p>
    <w:p w14:paraId="5528AA9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 010-83252185</w:t>
      </w:r>
    </w:p>
    <w:p w14:paraId="1425BA0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010-63080978</w:t>
      </w:r>
    </w:p>
    <w:p w14:paraId="065F51F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FU Ting</w:t>
      </w:r>
    </w:p>
    <w:p w14:paraId="11D8A1B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www.cindasc.com</w:t>
      </w:r>
    </w:p>
    <w:p w14:paraId="3EC09E4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95321</w:t>
      </w:r>
    </w:p>
    <w:p w14:paraId="7E85F25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(25) Orient Securities Co., Ltd.</w:t>
      </w:r>
    </w:p>
    <w:p w14:paraId="73AF1C4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Floors 22, 23, 25-29, Building 2, 318 Zhongshan South Road, Shanghai</w:t>
      </w:r>
    </w:p>
    <w:p w14:paraId="1FDC581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Floors 13, 21-23, 25-29, 32, 36, 39, 40, Building 2, 318 Zhongshan South Road, Shanghai</w:t>
      </w:r>
    </w:p>
    <w:p w14:paraId="632D0A4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PAN Xinjin</w:t>
      </w:r>
    </w:p>
    <w:p w14:paraId="51F12DE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021-63325888</w:t>
      </w:r>
    </w:p>
    <w:p w14:paraId="2C7AA90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021-63326729</w:t>
      </w:r>
    </w:p>
    <w:p w14:paraId="78B3F8B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KONG Yanan</w:t>
      </w:r>
    </w:p>
    <w:p w14:paraId="2B58752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www.dfzq.com.cn</w:t>
      </w:r>
    </w:p>
    <w:p w14:paraId="7B92D3F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95503</w:t>
      </w:r>
    </w:p>
    <w:p w14:paraId="4ADBC96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(26) Founder Securities Co., Ltd.</w:t>
      </w:r>
    </w:p>
    <w:p w14:paraId="6CC9963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Floors 22-24, Huaqiao International Building, Section 2, Furong Middle Road, Changsha, Hunan Province</w:t>
      </w:r>
    </w:p>
    <w:p w14:paraId="0C95494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Floors 22-24, Huaqiao International Building, Section 2, Furong Middle Road, Changsha, Hunan Province</w:t>
      </w:r>
    </w:p>
    <w:p w14:paraId="5628D56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LEI Jie</w:t>
      </w:r>
    </w:p>
    <w:p w14:paraId="778EA0A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0731-85832503</w:t>
      </w:r>
    </w:p>
    <w:p w14:paraId="35B5621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0731-85832214</w:t>
      </w:r>
    </w:p>
    <w:p w14:paraId="0A819E5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GUO Junrui</w:t>
      </w:r>
    </w:p>
    <w:p w14:paraId="29A55FF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www.foundersc.com</w:t>
      </w:r>
    </w:p>
    <w:p w14:paraId="485EEB6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95571</w:t>
      </w:r>
    </w:p>
    <w:p w14:paraId="7C78DCF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(27) Great Wall Securities Co., Ltd.</w:t>
      </w:r>
    </w:p>
    <w:p w14:paraId="43C23C8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Floors 10-19, South Tower, Energy Building, 2026 Jintian Road, Futian Street, Futian District, Shenzhen</w:t>
      </w:r>
    </w:p>
    <w:p w14:paraId="0D98316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Floors 10-19, South Tower, Energy Building, 2026 Jintian Road, Futian Street, Futian District, Shenzhen</w:t>
      </w:r>
    </w:p>
    <w:p w14:paraId="22ABFEA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CAO Hong</w:t>
      </w:r>
    </w:p>
    <w:p w14:paraId="3B553C6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0755-83530715</w:t>
      </w:r>
    </w:p>
    <w:p w14:paraId="4FFA752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0755-83515567</w:t>
      </w:r>
    </w:p>
    <w:p w14:paraId="566C8B0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LIANG Hao</w:t>
      </w:r>
    </w:p>
    <w:p w14:paraId="1D1E075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www.cgws.com</w:t>
      </w:r>
    </w:p>
    <w:p w14:paraId="240CB49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95514, 400-6666-888</w:t>
      </w:r>
    </w:p>
    <w:p w14:paraId="1678640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(28) Everbright Securities Co., Ltd.</w:t>
      </w:r>
    </w:p>
    <w:p w14:paraId="23A2980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1508 Xinzha Road, Jing'an District, Shanghai</w:t>
      </w:r>
    </w:p>
    <w:p w14:paraId="2FAFB19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1508 Xinzha Road, Jing'an District, Shanghai</w:t>
      </w:r>
    </w:p>
    <w:p w14:paraId="023DC92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LIU Qiuming</w:t>
      </w:r>
    </w:p>
    <w:p w14:paraId="175A8CF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021-22169999</w:t>
      </w:r>
    </w:p>
    <w:p w14:paraId="07DF01F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YU Jiang</w:t>
      </w:r>
    </w:p>
    <w:p w14:paraId="115AC1C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www.ebscn.com</w:t>
      </w:r>
    </w:p>
    <w:p w14:paraId="61C9152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95525, 400-888-8788</w:t>
      </w:r>
    </w:p>
    <w:p w14:paraId="7A3E8BC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(29) CITIC Securities South China Co., Ltd.</w:t>
      </w:r>
    </w:p>
    <w:p w14:paraId="4C84699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Room 901 (self-designated 01) and Room 1001 (self-designated 01), 395 Linjiang Avenue, Tianhe District, Guangzhou</w:t>
      </w:r>
    </w:p>
    <w:p w14:paraId="0ED3B71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Room 901 (self-designated 01) and Room 1001 (self-designated 01), 395 Linjiang Avenue, Tianhe District, Guangzhou</w:t>
      </w:r>
    </w:p>
    <w:p w14:paraId="6B2318F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CHEN Keke</w:t>
      </w:r>
    </w:p>
    <w:p w14:paraId="3C82678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020-88834780</w:t>
      </w:r>
    </w:p>
    <w:p w14:paraId="71CA296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020-88836914</w:t>
      </w:r>
    </w:p>
    <w:p w14:paraId="73A3A80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GUO Xingyan</w:t>
      </w:r>
    </w:p>
    <w:p w14:paraId="6871797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www.gzs.com.cn</w:t>
      </w:r>
    </w:p>
    <w:p w14:paraId="644EC11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95548</w:t>
      </w:r>
    </w:p>
    <w:p w14:paraId="3C52AC4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(30) Northeast Securities Co., Ltd.</w:t>
      </w:r>
    </w:p>
    <w:p w14:paraId="4AA7211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6666 Shengtai Street, Changchun</w:t>
      </w:r>
    </w:p>
    <w:p w14:paraId="08AD434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6666 Shengtai Street, Changchun</w:t>
      </w:r>
    </w:p>
    <w:p w14:paraId="79FABF0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LI Fuchun</w:t>
      </w:r>
    </w:p>
    <w:p w14:paraId="238041C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0431-85096517</w:t>
      </w:r>
    </w:p>
    <w:p w14:paraId="0A67F9B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0431-85096795</w:t>
      </w:r>
    </w:p>
    <w:p w14:paraId="51E3781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AN Yanyan</w:t>
      </w:r>
    </w:p>
    <w:p w14:paraId="1E839E7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www.nesc.cn</w:t>
      </w:r>
    </w:p>
    <w:p w14:paraId="3A63225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95360</w:t>
      </w:r>
    </w:p>
    <w:p w14:paraId="0828EE5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(31) Nanjing Securities Co., Ltd.</w:t>
      </w:r>
    </w:p>
    <w:p w14:paraId="254B98A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389 Jiangdong Middle Road, Nanjing, Jiangsu Province</w:t>
      </w:r>
    </w:p>
    <w:p w14:paraId="602C28D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389 Jiangdong Middle Road, Nanjing, Jiangsu Province</w:t>
      </w:r>
    </w:p>
    <w:p w14:paraId="1927A8B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LI Jianfeng</w:t>
      </w:r>
    </w:p>
    <w:p w14:paraId="217FF11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025-58519523</w:t>
      </w:r>
    </w:p>
    <w:p w14:paraId="4451925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025-83369725</w:t>
      </w:r>
    </w:p>
    <w:p w14:paraId="0868054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WANG Wanjun</w:t>
      </w:r>
    </w:p>
    <w:p w14:paraId="199F16F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www.njzq.com.cn</w:t>
      </w:r>
    </w:p>
    <w:p w14:paraId="0740AE9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95386</w:t>
      </w:r>
    </w:p>
    <w:p w14:paraId="57778F4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(32) Shanghai Securities Co., Ltd.</w:t>
      </w:r>
    </w:p>
    <w:p w14:paraId="20C18E1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336 Xizang Middle Road, Shanghai</w:t>
      </w:r>
    </w:p>
    <w:p w14:paraId="3C759BC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336 Xizang Middle Road, Shanghai</w:t>
      </w:r>
    </w:p>
    <w:p w14:paraId="06E6898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GONG Dexiong</w:t>
      </w:r>
    </w:p>
    <w:p w14:paraId="5535A34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021-51539888</w:t>
      </w:r>
    </w:p>
    <w:p w14:paraId="05C6BCD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021-65217206</w:t>
      </w:r>
    </w:p>
    <w:p w14:paraId="3446F48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ZHANG Jin</w:t>
      </w:r>
    </w:p>
    <w:p w14:paraId="211F748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www.shzq.com</w:t>
      </w:r>
    </w:p>
    <w:p w14:paraId="4EC6FDB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400-891-8918</w:t>
      </w:r>
    </w:p>
    <w:p w14:paraId="4300540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 xml:space="preserve">(33) Chengtong Securities Co., Ltd. </w:t>
      </w:r>
    </w:p>
    <w:p w14:paraId="7EA4AF1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12/F, Building 27, East 3rd Ring North Road, Chaoyang District, Beijing</w:t>
      </w:r>
    </w:p>
    <w:p w14:paraId="0EDDECA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12/F, Building 27, East 3rd Ring North Road, Chaoyang District, Beijing</w:t>
      </w:r>
    </w:p>
    <w:p w14:paraId="72CDBBA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ZHANG Wei</w:t>
      </w:r>
    </w:p>
    <w:p w14:paraId="59A4095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010-83561146</w:t>
      </w:r>
    </w:p>
    <w:p w14:paraId="0506761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010-83561164</w:t>
      </w:r>
    </w:p>
    <w:p w14:paraId="63EE22E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TIAN Fangfang</w:t>
      </w:r>
    </w:p>
    <w:p w14:paraId="41BD049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www.cctgsc.com.cn</w:t>
      </w:r>
    </w:p>
    <w:p w14:paraId="0B66733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95399</w:t>
      </w:r>
    </w:p>
    <w:p w14:paraId="745FEF8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(34) Datong Securities Co., Ltd.</w:t>
      </w:r>
    </w:p>
    <w:p w14:paraId="1F76193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21/F, Tongcheng Central, 15 Yingbin Street, Pingcheng District, Datong, Shanxi Province</w:t>
      </w:r>
    </w:p>
    <w:p w14:paraId="10B22BE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12-13/F, Block A, Shanxi World Trade Center, 111 Changzhi Road, Xiaodian District, Taiyuan, Shanxi Province</w:t>
      </w:r>
    </w:p>
    <w:p w14:paraId="1E4BC78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DONG Xiang</w:t>
      </w:r>
    </w:p>
    <w:p w14:paraId="5C31D11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 0351-4130322</w:t>
      </w:r>
    </w:p>
    <w:p w14:paraId="7E2E694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0351-7219891</w:t>
      </w:r>
    </w:p>
    <w:p w14:paraId="55894BB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XUE Jin</w:t>
      </w:r>
    </w:p>
    <w:p w14:paraId="0F2A889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www.dtsbc.com.cn</w:t>
      </w:r>
    </w:p>
    <w:p w14:paraId="6DC7E6C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400-712-1212</w:t>
      </w:r>
    </w:p>
    <w:p w14:paraId="28ECF77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(35) Guolian Minsheng Securities Co., Ltd.</w:t>
      </w:r>
    </w:p>
    <w:p w14:paraId="25DDAF3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8 Jinrong 1st Street, Wuxi</w:t>
      </w:r>
    </w:p>
    <w:p w14:paraId="449708C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8 Jinrong 1st Street, Wuxi</w:t>
      </w:r>
    </w:p>
    <w:p w14:paraId="713783B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GE Xiaobo</w:t>
      </w:r>
    </w:p>
    <w:p w14:paraId="79C4044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0510-82832051</w:t>
      </w:r>
    </w:p>
    <w:p w14:paraId="6FE3FB4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0510-82832051</w:t>
      </w:r>
    </w:p>
    <w:p w14:paraId="182B4ED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GUO Yifei</w:t>
      </w:r>
    </w:p>
    <w:p w14:paraId="507BB68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www.glsc.com.cn</w:t>
      </w:r>
    </w:p>
    <w:p w14:paraId="3515B2D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95570</w:t>
      </w:r>
    </w:p>
    <w:p w14:paraId="1C7A56C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(36) Zheshang Securities Co., Ltd.</w:t>
      </w:r>
    </w:p>
    <w:p w14:paraId="1C60732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201 Wuxing Road, Jianggan District, Hangzhou</w:t>
      </w:r>
    </w:p>
    <w:p w14:paraId="3B2F5F7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8/F, Zheshang Securities Building, 201 Wuxing Road, Jianggan District, Hangzhou</w:t>
      </w:r>
    </w:p>
    <w:p w14:paraId="236F059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WU Chenggen</w:t>
      </w:r>
    </w:p>
    <w:p w14:paraId="7536611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 0571-87901053</w:t>
      </w:r>
    </w:p>
    <w:p w14:paraId="4238D85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0571-87901913</w:t>
      </w:r>
    </w:p>
    <w:p w14:paraId="19D0B25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XIE Xianghui</w:t>
      </w:r>
    </w:p>
    <w:p w14:paraId="7657601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www.stocke.com.cn</w:t>
      </w:r>
    </w:p>
    <w:p w14:paraId="110D548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95345</w:t>
      </w:r>
    </w:p>
    <w:p w14:paraId="4771801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(37) Ping An Securities Co., Ltd.</w:t>
      </w:r>
    </w:p>
    <w:p w14:paraId="684C98A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Floors 22-25, Building B, Ping An Financial Center, 5023 Yitian Road, Futian Street, Futian District, Shenzhen</w:t>
      </w:r>
    </w:p>
    <w:p w14:paraId="5D89EAE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Floors 16-20, Rongchao Tower, 4036 Jintian Road, Futian Central District, Shenzhen</w:t>
      </w:r>
    </w:p>
    <w:p w14:paraId="0F0599C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HE Zhijiang</w:t>
      </w:r>
    </w:p>
    <w:p w14:paraId="64E841E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13916661875</w:t>
      </w:r>
    </w:p>
    <w:p w14:paraId="3D35FF8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021-33830395</w:t>
      </w:r>
    </w:p>
    <w:p w14:paraId="5B97F2F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WANG Yang</w:t>
      </w:r>
    </w:p>
    <w:p w14:paraId="6F50FEA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www.pingan.com</w:t>
      </w:r>
    </w:p>
    <w:p w14:paraId="1145BEA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95511-8</w:t>
      </w:r>
    </w:p>
    <w:p w14:paraId="3BB00E3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(38) Huaan Securities Co., Ltd.</w:t>
      </w:r>
    </w:p>
    <w:p w14:paraId="6C1E565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198 Swan Lake Road, Government and Cultural New District, Hefei, Anhui Province</w:t>
      </w:r>
    </w:p>
    <w:p w14:paraId="62E3BCF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Building B1, Caizhi Center, 198 Swan Lake Road, Government and Cultural New District, Hefei, Anhui Province</w:t>
      </w:r>
    </w:p>
    <w:p w14:paraId="55D657A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ZHANG Hongtao</w:t>
      </w:r>
    </w:p>
    <w:p w14:paraId="1AEE8E4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0551-65161666</w:t>
      </w:r>
    </w:p>
    <w:p w14:paraId="4CD4C1A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0551-65161600</w:t>
      </w:r>
    </w:p>
    <w:p w14:paraId="19164D0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FAN Chao</w:t>
      </w:r>
    </w:p>
    <w:p w14:paraId="07950CB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www.hazq.com</w:t>
      </w:r>
    </w:p>
    <w:p w14:paraId="7C146FE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95318</w:t>
      </w:r>
    </w:p>
    <w:p w14:paraId="3717264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(39) Sealand Securities Co., Ltd.</w:t>
      </w:r>
    </w:p>
    <w:p w14:paraId="0E242E6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13 Fuxing Road, Guilin, Guangxi</w:t>
      </w:r>
    </w:p>
    <w:p w14:paraId="1D1549F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46 Binhu Road, Nanning, Guangxi Zhuang Autonomous Region</w:t>
      </w:r>
    </w:p>
    <w:p w14:paraId="54C337B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HE Chunmei</w:t>
      </w:r>
    </w:p>
    <w:p w14:paraId="603D16A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 0755-83709350</w:t>
      </w:r>
    </w:p>
    <w:p w14:paraId="229C220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0755-83704850</w:t>
      </w:r>
    </w:p>
    <w:p w14:paraId="5AD3047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NIU Mengyu</w:t>
      </w:r>
    </w:p>
    <w:p w14:paraId="6C5F4ED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www.ghzq.com.cn</w:t>
      </w:r>
    </w:p>
    <w:p w14:paraId="1F5FEFB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95563</w:t>
      </w:r>
    </w:p>
    <w:p w14:paraId="3E7AF04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(40) Chasing Securities Co., Ltd.</w:t>
      </w:r>
    </w:p>
    <w:p w14:paraId="0D61B11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26/F, Tower T2 (Building B), Binjiang Financial Center, 112 Chazishan East Road, Yuelu District, Changsha, Hunan Province</w:t>
      </w:r>
    </w:p>
    <w:p w14:paraId="77D451A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26/F, Shuntian International Fortune Center, 80 Furong Middle Road Section 2, Changsha</w:t>
      </w:r>
    </w:p>
    <w:p w14:paraId="274DE67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LIU Wanchen</w:t>
      </w:r>
    </w:p>
    <w:p w14:paraId="728E1DF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0731-84403347</w:t>
      </w:r>
    </w:p>
    <w:p w14:paraId="511F9CC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0731-84403439</w:t>
      </w:r>
    </w:p>
    <w:p w14:paraId="44CEBD2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GUO Jing</w:t>
      </w:r>
    </w:p>
    <w:p w14:paraId="4A3AB3B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www.cfzq.com</w:t>
      </w:r>
    </w:p>
    <w:p w14:paraId="490C6E2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95317</w:t>
      </w:r>
    </w:p>
    <w:p w14:paraId="7CEBD59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(41) Dongguan Securities Co., Ltd.</w:t>
      </w:r>
    </w:p>
    <w:p w14:paraId="7E6DFDD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Jinyuan Center, 1 Keyuan South Road, Guancheng District, Dongguan</w:t>
      </w:r>
    </w:p>
    <w:p w14:paraId="5CB0D27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30/F, Jinyuan Center, 1 Keyuan South Road, Guancheng District, Dongguan</w:t>
      </w:r>
    </w:p>
    <w:p w14:paraId="0685F3B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ZHANG Yunyong</w:t>
      </w:r>
    </w:p>
    <w:p w14:paraId="5BE3BC4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0769-22115712, 0769-22119348</w:t>
      </w:r>
    </w:p>
    <w:p w14:paraId="4ABBA36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0769-22119423</w:t>
      </w:r>
    </w:p>
    <w:p w14:paraId="1B7765B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LI Rong, SUN Xu</w:t>
      </w:r>
    </w:p>
    <w:p w14:paraId="4E857D5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www.dgzq.com.cn</w:t>
      </w:r>
    </w:p>
    <w:p w14:paraId="7226290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95328</w:t>
      </w:r>
    </w:p>
    <w:p w14:paraId="3CFFE04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(42) Central China Securities Co., Ltd.</w:t>
      </w:r>
    </w:p>
    <w:p w14:paraId="3F4B162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10 Shangwu Outer Ring Road, Zhengdong New District, Zhengzhou</w:t>
      </w:r>
    </w:p>
    <w:p w14:paraId="3E9E79C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10 Shangwu Outer Ring Road, Zhengdong New District, Zhengzhou</w:t>
      </w:r>
    </w:p>
    <w:p w14:paraId="60B3121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LU Zhili</w:t>
      </w:r>
    </w:p>
    <w:p w14:paraId="50CB240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0371-69099881, 0371-69099882</w:t>
      </w:r>
    </w:p>
    <w:p w14:paraId="1C30EDB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0371-65585899</w:t>
      </w:r>
    </w:p>
    <w:p w14:paraId="1C1B630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CHENG Yueyan, LI Panpan</w:t>
      </w:r>
    </w:p>
    <w:p w14:paraId="61B331E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www.ccnew.com</w:t>
      </w:r>
    </w:p>
    <w:p w14:paraId="328E386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95377</w:t>
      </w:r>
    </w:p>
    <w:p w14:paraId="15164D7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(43) Guodu Securities Co., Ltd.</w:t>
      </w:r>
    </w:p>
    <w:p w14:paraId="13A7833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9/F and 10/F, Guohua Investment Building, 3 Dongzhimen South Street, Dongcheng District, Beijing</w:t>
      </w:r>
    </w:p>
    <w:p w14:paraId="1C6271E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9/F and 10/F, Guohua Investment Building, 3 Dongzhimen South Street, Dongcheng District, Beijing</w:t>
      </w:r>
    </w:p>
    <w:p w14:paraId="07B9AF3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WENG Zhenjie</w:t>
      </w:r>
    </w:p>
    <w:p w14:paraId="7982F50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010-84183389</w:t>
      </w:r>
    </w:p>
    <w:p w14:paraId="2FFF85B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010-84183311-3389</w:t>
      </w:r>
    </w:p>
    <w:p w14:paraId="78B93B0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HUANG Jing</w:t>
      </w:r>
    </w:p>
    <w:p w14:paraId="751995C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www.guodu.com</w:t>
      </w:r>
    </w:p>
    <w:p w14:paraId="71944D1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400-818-8118</w:t>
      </w:r>
    </w:p>
    <w:p w14:paraId="615F063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(44) Donghai Securities Co., Ltd.</w:t>
      </w:r>
    </w:p>
    <w:p w14:paraId="157E13C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18/F, Investment Plaza, 23 Yanling West Road, Changzhou, Jiangsu Province</w:t>
      </w:r>
    </w:p>
    <w:p w14:paraId="20C9315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Donghai Securities Building, 1928 Dongfang Road, Pudong New Area, Shanghai</w:t>
      </w:r>
    </w:p>
    <w:p w14:paraId="617719C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QIAN Junwen</w:t>
      </w:r>
    </w:p>
    <w:p w14:paraId="3125614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021-20333333</w:t>
      </w:r>
    </w:p>
    <w:p w14:paraId="0210D2A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021-50498825</w:t>
      </w:r>
    </w:p>
    <w:p w14:paraId="5A6E3AE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WANG Yiyan</w:t>
      </w:r>
    </w:p>
    <w:p w14:paraId="51D7129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www.longone.com.cn</w:t>
      </w:r>
    </w:p>
    <w:p w14:paraId="42F0940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95531, 400-888-8588</w:t>
      </w:r>
    </w:p>
    <w:p w14:paraId="226AB4D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(45) Hengtai Securities Co., Ltd.</w:t>
      </w:r>
    </w:p>
    <w:p w14:paraId="72A88B1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Manshi Shangdu Office and Commercial Complex, Hailar East Street, Xincheng District, Hohhot, Inner Mongolia</w:t>
      </w:r>
    </w:p>
    <w:p w14:paraId="46EC321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Manshi Shangdu Office and Commercial Complex, Hailar East Street, Xincheng District, Hohhot; 11/F, China Life Center, 17 Financial Street, Xicheng District, Beijing</w:t>
      </w:r>
    </w:p>
    <w:p w14:paraId="6E4B770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ZHU Yanhui</w:t>
      </w:r>
    </w:p>
    <w:p w14:paraId="6022F28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021-68405273</w:t>
      </w:r>
    </w:p>
    <w:p w14:paraId="37BE357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021-68405181</w:t>
      </w:r>
    </w:p>
    <w:p w14:paraId="1716516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ZHANG Tongliang</w:t>
      </w:r>
    </w:p>
    <w:p w14:paraId="4E3DAC3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www.cnht.com.cn</w:t>
      </w:r>
    </w:p>
    <w:p w14:paraId="2F04A4F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956088</w:t>
      </w:r>
    </w:p>
    <w:p w14:paraId="6039F35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(46) Guosheng Securities Co., Ltd.</w:t>
      </w:r>
    </w:p>
    <w:p w14:paraId="2A395FB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Jiangxin International Finance Building, 88 Beijing West Road, Nanchang</w:t>
      </w:r>
    </w:p>
    <w:p w14:paraId="7619ED2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Bank of Beijing Building, 1115 Fenghuang Middle Avenue, Honggutan New District, Nanchang, Jiangxi Province</w:t>
      </w:r>
    </w:p>
    <w:p w14:paraId="5BAB22A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LIU Chaodong</w:t>
      </w:r>
    </w:p>
    <w:p w14:paraId="4F5CDFF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0791-86283372, 15170012175</w:t>
      </w:r>
    </w:p>
    <w:p w14:paraId="3909FB2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0791-86281305</w:t>
      </w:r>
    </w:p>
    <w:p w14:paraId="4EF3CB0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ZHAN Wenchi</w:t>
      </w:r>
    </w:p>
    <w:p w14:paraId="79C07B3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www.gszq.com</w:t>
      </w:r>
    </w:p>
    <w:p w14:paraId="68431B1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956080</w:t>
      </w:r>
    </w:p>
    <w:p w14:paraId="7172E07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(47) Huaxi Securities Co., Ltd.</w:t>
      </w:r>
    </w:p>
    <w:p w14:paraId="5F19843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198 Tianfu 2nd Street, High-tech Zone, Chengdu, Sichuan Province</w:t>
      </w:r>
    </w:p>
    <w:p w14:paraId="70F2870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198 Tianfu 2nd Street, High-tech Zone, Chengdu, Sichuan Province</w:t>
      </w:r>
    </w:p>
    <w:p w14:paraId="2331F45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YANG Jiongyang</w:t>
      </w:r>
    </w:p>
    <w:p w14:paraId="4E77E32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010-58124967</w:t>
      </w:r>
    </w:p>
    <w:p w14:paraId="685253C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028-86150040</w:t>
      </w:r>
    </w:p>
    <w:p w14:paraId="3965598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XIE Guomei</w:t>
      </w:r>
    </w:p>
    <w:p w14:paraId="0029690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www.hx168.com.cn</w:t>
      </w:r>
    </w:p>
    <w:p w14:paraId="4FAE7C6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95584</w:t>
      </w:r>
    </w:p>
    <w:p w14:paraId="73E7F70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(48) Shenwan Hongyuan Western Securities Co., Ltd.</w:t>
      </w:r>
    </w:p>
    <w:p w14:paraId="24FCADD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Room 2005, 20/F, Dacheng International Building, 358 Beijing South Road, High-tech Zone (New Urban District), Urumqi, Xinjiang</w:t>
      </w:r>
    </w:p>
    <w:p w14:paraId="0CA528E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Room 2005, 20/F, Dacheng International Building, 358 Beijing South Road, High-tech Zone (New Urban District), Urumqi, Xinjiang (830002)</w:t>
      </w:r>
    </w:p>
    <w:p w14:paraId="371E268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WANG Xianjun</w:t>
      </w:r>
    </w:p>
    <w:p w14:paraId="1AB95E1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0991-2307105</w:t>
      </w:r>
    </w:p>
    <w:p w14:paraId="545A752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0991-2301927</w:t>
      </w:r>
    </w:p>
    <w:p w14:paraId="2D4D8E9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LIANG Li</w:t>
      </w:r>
    </w:p>
    <w:p w14:paraId="1363475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www.swhysc.com</w:t>
      </w:r>
    </w:p>
    <w:p w14:paraId="62B589D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95523, 400-889-5523</w:t>
      </w:r>
    </w:p>
    <w:p w14:paraId="6975A26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(49) Zhongtai Securities Co., Ltd.</w:t>
      </w:r>
    </w:p>
    <w:p w14:paraId="60E4CE3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86 Jingqi Road, Shizhong District, Jinan, Shandong Province</w:t>
      </w:r>
    </w:p>
    <w:p w14:paraId="44C9058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86 Jingqi Road, Shizhong District, Jinan, Shandong Province</w:t>
      </w:r>
    </w:p>
    <w:p w14:paraId="6EE5E02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WANG Hong</w:t>
      </w:r>
    </w:p>
    <w:p w14:paraId="03D66A9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021-20315719</w:t>
      </w:r>
    </w:p>
    <w:p w14:paraId="53C475C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021-20315125</w:t>
      </w:r>
    </w:p>
    <w:p w14:paraId="32E7395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ZHANG Fengyuan</w:t>
      </w:r>
    </w:p>
    <w:p w14:paraId="6B8FCDF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www.zts.com.cn</w:t>
      </w:r>
    </w:p>
    <w:p w14:paraId="06DC82C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95538</w:t>
      </w:r>
    </w:p>
    <w:p w14:paraId="5490BE5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(50) First Capital Securities Co., Ltd.</w:t>
      </w:r>
    </w:p>
    <w:p w14:paraId="4FE1F69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20/F, Investment Banking Tower, 115 Fuhua 1st Road, Futian District, Shenzhen</w:t>
      </w:r>
    </w:p>
    <w:p w14:paraId="2ABE4F3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18/F, Investment Banking Tower, 115 Fuhua 1st Road, Futian District, Shenzhen</w:t>
      </w:r>
    </w:p>
    <w:p w14:paraId="61F269B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LIU Xuemin</w:t>
      </w:r>
    </w:p>
    <w:p w14:paraId="2BCF79A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0755-23838750</w:t>
      </w:r>
    </w:p>
    <w:p w14:paraId="517B27D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0755-25838701</w:t>
      </w:r>
    </w:p>
    <w:p w14:paraId="7CB4BFC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SHAN Jing</w:t>
      </w:r>
    </w:p>
    <w:p w14:paraId="3D2DBFC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www.firstcapital.com.cn</w:t>
      </w:r>
    </w:p>
    <w:p w14:paraId="1F2345F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95358</w:t>
      </w:r>
    </w:p>
    <w:p w14:paraId="27407E5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(51) Goldstate Securities Co., Ltd.</w:t>
      </w:r>
    </w:p>
    <w:p w14:paraId="703C508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4/F, Securities Building, 36 Nanbao Road, Haikou</w:t>
      </w:r>
    </w:p>
    <w:p w14:paraId="54EA6BB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17/F, Times Financial Center, 4001 Shennan Boulevard, Shenzhen</w:t>
      </w:r>
    </w:p>
    <w:p w14:paraId="4032299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LU Tao</w:t>
      </w:r>
    </w:p>
    <w:p w14:paraId="5F713EF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0755-83025022</w:t>
      </w:r>
    </w:p>
    <w:p w14:paraId="168A93A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0755-83025625</w:t>
      </w:r>
    </w:p>
    <w:p w14:paraId="5D4E5CE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MA Xianqing</w:t>
      </w:r>
    </w:p>
    <w:p w14:paraId="224F0CD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www.jyzq.cn</w:t>
      </w:r>
    </w:p>
    <w:p w14:paraId="4DAB944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95372</w:t>
      </w:r>
    </w:p>
    <w:p w14:paraId="4A64464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(52) AVIC Securities Co., Ltd.</w:t>
      </w:r>
    </w:p>
    <w:p w14:paraId="03E8ED8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41/F, Building A, Nanchang International Financial Building, 1619 Honggu Middle Avenue, Honggutan New District, Nanchang, Jiangxi Province</w:t>
      </w:r>
    </w:p>
    <w:p w14:paraId="19EC544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41/F, Building A, Nanchang International Financial Building, 1619 Honggu Middle Avenue, Honggutan New District, Nanchang, Jiangxi Province</w:t>
      </w:r>
    </w:p>
    <w:p w14:paraId="1A6A805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WANG Yisi</w:t>
      </w:r>
    </w:p>
    <w:p w14:paraId="02CA3AD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0791-86768681</w:t>
      </w:r>
    </w:p>
    <w:p w14:paraId="233FE42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0791-86770178</w:t>
      </w:r>
    </w:p>
    <w:p w14:paraId="65219AA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DAI Lei</w:t>
      </w:r>
    </w:p>
    <w:p w14:paraId="553685E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www.avicsec.com</w:t>
      </w:r>
    </w:p>
    <w:p w14:paraId="27BCDB1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95335</w:t>
      </w:r>
    </w:p>
    <w:p w14:paraId="132D12B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(53) Tebon Securities Co., Ltd.</w:t>
      </w:r>
    </w:p>
    <w:p w14:paraId="4332B8E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9/F, South Wing, 510 Caoyang Road, Putuo District, Shanghai</w:t>
      </w:r>
    </w:p>
    <w:p w14:paraId="0BECADB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26/F, Urban Development International Center, 500 Fushan Road, Pudong New Area, Shanghai</w:t>
      </w:r>
    </w:p>
    <w:p w14:paraId="11D134F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WU Xiaochun</w:t>
      </w:r>
    </w:p>
    <w:p w14:paraId="21EA191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021-68761616</w:t>
      </w:r>
    </w:p>
    <w:p w14:paraId="2CD138A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021-68767032</w:t>
      </w:r>
    </w:p>
    <w:p w14:paraId="717772C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LIU Yi</w:t>
      </w:r>
    </w:p>
    <w:p w14:paraId="0E7C004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www.tebon.com.cn</w:t>
      </w:r>
    </w:p>
    <w:p w14:paraId="4623B3E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400-888-8128</w:t>
      </w:r>
    </w:p>
    <w:p w14:paraId="62B8A3E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(54) Western Securities Co., Ltd.</w:t>
      </w:r>
    </w:p>
    <w:p w14:paraId="607443E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Room 10000, Building 8, 319 Dongxin Street, Xincheng District, Xi'an, Shaanxi Province</w:t>
      </w:r>
    </w:p>
    <w:p w14:paraId="675E129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Room 10000, Building 8, 319 Dongxin Street, Xincheng District, Xi'an, Shaanxi Province</w:t>
      </w:r>
    </w:p>
    <w:p w14:paraId="1EFB251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XU Zhaohui</w:t>
      </w:r>
    </w:p>
    <w:p w14:paraId="23CB743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029-87211526</w:t>
      </w:r>
    </w:p>
    <w:p w14:paraId="4F375CE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029-87424426</w:t>
      </w:r>
    </w:p>
    <w:p w14:paraId="19F3860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LIANG Chenghua</w:t>
      </w:r>
    </w:p>
    <w:p w14:paraId="2E695CF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www.westsecu.com</w:t>
      </w:r>
    </w:p>
    <w:p w14:paraId="1B1F24F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95582</w:t>
      </w:r>
    </w:p>
    <w:p w14:paraId="14DA50B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(55) Huafu Securities Co., Ltd.</w:t>
      </w:r>
    </w:p>
    <w:p w14:paraId="1657DB7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7/F and 8/F, Xintiandi Building, 157 Wusi Road, Fuzhou</w:t>
      </w:r>
    </w:p>
    <w:p w14:paraId="438B53A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Floors 7-10, Xintiandi Building, 157 Wusi Road, Fuzhou</w:t>
      </w:r>
    </w:p>
    <w:p w14:paraId="5314E4F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HUANG Jinlin</w:t>
      </w:r>
    </w:p>
    <w:p w14:paraId="63A0B38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0591-87383623</w:t>
      </w:r>
    </w:p>
    <w:p w14:paraId="2713BC5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0591-87383610</w:t>
      </w:r>
    </w:p>
    <w:p w14:paraId="3B2D83A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ZHANG Teng</w:t>
      </w:r>
    </w:p>
    <w:p w14:paraId="5C20E8B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www.hfzq.com.cn</w:t>
      </w:r>
    </w:p>
    <w:p w14:paraId="758CE47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95547</w:t>
      </w:r>
    </w:p>
    <w:p w14:paraId="39265CB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(56) China International Capital Corporation Limited</w:t>
      </w:r>
    </w:p>
    <w:p w14:paraId="0FC0838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27/F and 28/F, China World Tower 2, 1 Jianguomenwai Avenue, Beijing</w:t>
      </w:r>
    </w:p>
    <w:p w14:paraId="67825C6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27/F and 28/F, China World Tower 2, 1 Jianguomenwai Avenue, Beijing</w:t>
      </w:r>
    </w:p>
    <w:p w14:paraId="0F1EF7F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JIN Liqun</w:t>
      </w:r>
    </w:p>
    <w:p w14:paraId="321C7D5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010-65051166</w:t>
      </w:r>
    </w:p>
    <w:p w14:paraId="0A00BFE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010-65058065</w:t>
      </w:r>
    </w:p>
    <w:p w14:paraId="59CDF5B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LUO Chunrong, WU Mingming</w:t>
      </w:r>
    </w:p>
    <w:p w14:paraId="4D57C17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www.cicc.com.cn</w:t>
      </w:r>
    </w:p>
    <w:p w14:paraId="3AA70D7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010-65051166</w:t>
      </w:r>
    </w:p>
    <w:p w14:paraId="35BB558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(57) Caitong Securities Co., Ltd.</w:t>
      </w:r>
    </w:p>
    <w:p w14:paraId="6ECD260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Jiahua International Business Centre, 15 Hangda Road, Hangzhou</w:t>
      </w:r>
    </w:p>
    <w:p w14:paraId="4F39FD9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Jiahua International Business Center, 15 Hangda Road, Hangzhou</w:t>
      </w:r>
    </w:p>
    <w:p w14:paraId="7EC36D1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SHEN Jining</w:t>
      </w:r>
    </w:p>
    <w:p w14:paraId="2A3CEB4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 0571-87925129</w:t>
      </w:r>
    </w:p>
    <w:p w14:paraId="7E1A565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0571-87818329</w:t>
      </w:r>
    </w:p>
    <w:p w14:paraId="536FEC4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XIA Jihui</w:t>
      </w:r>
    </w:p>
    <w:p w14:paraId="07C8262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www.ctsec.com</w:t>
      </w:r>
    </w:p>
    <w:p w14:paraId="246C6F2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95336</w:t>
      </w:r>
    </w:p>
    <w:p w14:paraId="6EF0DB7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 xml:space="preserve"> (58) Yongxing Securities Co., Ltd.</w:t>
      </w:r>
    </w:p>
    <w:p w14:paraId="2921770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8-11/F, 565 &amp; 577 Haiyan North Road, Yinzhou District, Ningbo City, Zhejiang Province</w:t>
      </w:r>
    </w:p>
    <w:p w14:paraId="03E0CE0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8-11/F, 565 &amp; 577 Haiyan North Road, Yinzhou District, Ningbo City, Zhejiang Province; 31-32/F, 429 Nanquan North Road, Pudong New Area, Shanghai</w:t>
      </w:r>
    </w:p>
    <w:p w14:paraId="624C544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LI Bao</w:t>
      </w:r>
    </w:p>
    <w:p w14:paraId="254B20E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 13917125376</w:t>
      </w:r>
    </w:p>
    <w:p w14:paraId="4E3A45B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021-68776977-8427</w:t>
      </w:r>
    </w:p>
    <w:p w14:paraId="2C904FE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SUI Fei</w:t>
      </w:r>
    </w:p>
    <w:p w14:paraId="3754FD2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https://www.yongxingsec.com/</w:t>
      </w:r>
    </w:p>
    <w:p w14:paraId="52814EA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400-916-0666</w:t>
      </w:r>
    </w:p>
    <w:p w14:paraId="45B4774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(59) China Fortune Securities Co., Ltd.</w:t>
      </w:r>
    </w:p>
    <w:p w14:paraId="3750A14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Room 20C-1, Building 1, China Phoenix Building, 2008 Shennan Boulevard, Fuzhong Community, Lianhua Street, Futian District, Shenzhen</w:t>
      </w:r>
    </w:p>
    <w:p w14:paraId="2B4718E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8 Wanping South Road, Xuhui District, Shanghai</w:t>
      </w:r>
    </w:p>
    <w:p w14:paraId="6192102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YU Yang</w:t>
      </w:r>
    </w:p>
    <w:p w14:paraId="3B83A78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021-54967656</w:t>
      </w:r>
    </w:p>
    <w:p w14:paraId="44BDBDD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021-54967032</w:t>
      </w:r>
    </w:p>
    <w:p w14:paraId="3E28502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YU Jiayan</w:t>
      </w:r>
    </w:p>
    <w:p w14:paraId="2B987FE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www.cfsc.com.cn</w:t>
      </w:r>
    </w:p>
    <w:p w14:paraId="146E90B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95323, 400-109-9918</w:t>
      </w:r>
    </w:p>
    <w:p w14:paraId="70B1816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(60) China CICC Wealth Management Securities Company Limited</w:t>
      </w:r>
    </w:p>
    <w:p w14:paraId="64BD777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Floors 18-21 and Units 01-03, 05, 11-13, 15-16, 18-23 of 4/F, Building A, Rongchao Business Center, intersection of Yitian Road and Fuzhong Road, Futian District, Shenzhen</w:t>
      </w:r>
    </w:p>
    <w:p w14:paraId="539C518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Floors 04, 18-21, Building A, Rongchao Business Center, 6003 Yitian Road, Futian District, Shenzhen</w:t>
      </w:r>
    </w:p>
    <w:p w14:paraId="2EF00D8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GAO Tao</w:t>
      </w:r>
    </w:p>
    <w:p w14:paraId="4A43759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0755-88320851</w:t>
      </w:r>
    </w:p>
    <w:p w14:paraId="1904011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0755-82026942</w:t>
      </w:r>
    </w:p>
    <w:p w14:paraId="49ABCA1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HU Zhijing</w:t>
      </w:r>
    </w:p>
    <w:p w14:paraId="5E75C22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www.china-invs.cn</w:t>
      </w:r>
    </w:p>
    <w:p w14:paraId="66A6498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400-600-8008, 95532</w:t>
      </w:r>
    </w:p>
    <w:p w14:paraId="145FA77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(61) Guorong Securities Co., Ltd.</w:t>
      </w:r>
    </w:p>
    <w:p w14:paraId="34A78D5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4/F, 1 Tengfei Avenue, Wuchuan County, Hohhot, Inner Mongolia Autonomous Region</w:t>
      </w:r>
    </w:p>
    <w:p w14:paraId="1AE7178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11/F, West Tower, Chang'an Xingrong Center, 1 Naoshikou Street, Xicheng District, Beijing</w:t>
      </w:r>
    </w:p>
    <w:p w14:paraId="2E7E81B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ZHANG Zhihe</w:t>
      </w:r>
    </w:p>
    <w:p w14:paraId="464323F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010-83991719</w:t>
      </w:r>
    </w:p>
    <w:p w14:paraId="18C8B14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010-66412537</w:t>
      </w:r>
    </w:p>
    <w:p w14:paraId="66468B4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YE Milin</w:t>
      </w:r>
    </w:p>
    <w:p w14:paraId="3B59CE0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https://www.grzq.com</w:t>
      </w:r>
    </w:p>
    <w:p w14:paraId="7F41B4F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95385</w:t>
      </w:r>
    </w:p>
    <w:p w14:paraId="16C83A1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(62) Jianghai Securities Co., Ltd.</w:t>
      </w:r>
    </w:p>
    <w:p w14:paraId="1A68DCB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56 Ganshui Road, Xiangfang District, Harbin</w:t>
      </w:r>
    </w:p>
    <w:p w14:paraId="43E8555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833 Chuangxin 3rd Road, Songbei District, Harbin</w:t>
      </w:r>
    </w:p>
    <w:p w14:paraId="431DA91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ZHAO Hongbo</w:t>
      </w:r>
    </w:p>
    <w:p w14:paraId="63EBC43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0451-87765732</w:t>
      </w:r>
    </w:p>
    <w:p w14:paraId="66D295E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0451-82337279</w:t>
      </w:r>
    </w:p>
    <w:p w14:paraId="37CD42F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JIANG Zhiwei</w:t>
      </w:r>
    </w:p>
    <w:p w14:paraId="588ED03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www.jhzq.com.cn</w:t>
      </w:r>
    </w:p>
    <w:p w14:paraId="79D71A6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956007</w:t>
      </w:r>
    </w:p>
    <w:p w14:paraId="4C1C0F3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(63) Huayuan Securities Co., Ltd.</w:t>
      </w:r>
    </w:p>
    <w:p w14:paraId="6B80CDA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108 Chuangye Road, Nanchuan Industrial Park, Xining, Qinghai Province</w:t>
      </w:r>
    </w:p>
    <w:p w14:paraId="475E789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Floors 32F-34F, China Overseas Center, 278 Qingnian Road, Wansong Street, Jianghan District, Wuhan, Hubei Province</w:t>
      </w:r>
    </w:p>
    <w:p w14:paraId="0E458C6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DENG Hui</w:t>
      </w:r>
    </w:p>
    <w:p w14:paraId="1D27365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15601681367</w:t>
      </w:r>
    </w:p>
    <w:p w14:paraId="045B631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010-57672020</w:t>
      </w:r>
    </w:p>
    <w:p w14:paraId="40F4725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XU Lu</w:t>
      </w:r>
    </w:p>
    <w:p w14:paraId="7CD46F4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www.huayuanstock.com</w:t>
      </w:r>
    </w:p>
    <w:p w14:paraId="7CBD6BD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95305</w:t>
      </w:r>
    </w:p>
    <w:p w14:paraId="09DF769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(64) Sinolink Securities Co., Ltd.</w:t>
      </w:r>
    </w:p>
    <w:p w14:paraId="5CD65EF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95 Dongchenggen Upper Street, Qingyang District, Chengdu</w:t>
      </w:r>
    </w:p>
    <w:p w14:paraId="270531B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95 Dongchenggen Upper Street, Qingyang District, Chengdu</w:t>
      </w:r>
    </w:p>
    <w:p w14:paraId="0D5053F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RAN Yun</w:t>
      </w:r>
    </w:p>
    <w:p w14:paraId="5DB18CC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028-86690057, 028-86690058</w:t>
      </w:r>
    </w:p>
    <w:p w14:paraId="7F71D58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028-86690126</w:t>
      </w:r>
    </w:p>
    <w:p w14:paraId="4D18865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LIU Jingyi, JIA Peng</w:t>
      </w:r>
    </w:p>
    <w:p w14:paraId="40E66E6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www.gjzq.com.cn</w:t>
      </w:r>
    </w:p>
    <w:p w14:paraId="6325509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95310</w:t>
      </w:r>
    </w:p>
    <w:p w14:paraId="2992548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(65) Hwabao Securities Co., Ltd.</w:t>
      </w:r>
    </w:p>
    <w:p w14:paraId="6DC283E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27/F, 166 Lujiazui Ring Road, Shanghai</w:t>
      </w:r>
    </w:p>
    <w:p w14:paraId="5A4C321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27/F, 166 Lujiazui Ring Road, Shanghai</w:t>
      </w:r>
    </w:p>
    <w:p w14:paraId="382A036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CHEN Lin</w:t>
      </w:r>
    </w:p>
    <w:p w14:paraId="3ED173F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021-50122128</w:t>
      </w:r>
    </w:p>
    <w:p w14:paraId="045A93A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021-50122398</w:t>
      </w:r>
    </w:p>
    <w:p w14:paraId="21DEA3F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XU Fangliang</w:t>
      </w:r>
    </w:p>
    <w:p w14:paraId="7544123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www.cnhbstock.com</w:t>
      </w:r>
    </w:p>
    <w:p w14:paraId="4F7BB4A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400-820-9898</w:t>
      </w:r>
    </w:p>
    <w:p w14:paraId="57CD46A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(66) Aijian Securities Co., Ltd.</w:t>
      </w:r>
    </w:p>
    <w:p w14:paraId="791C370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32/F, Building 1, 1600 Century Avenue, China (Shanghai) Pilot Free Trade Zone</w:t>
      </w:r>
    </w:p>
    <w:p w14:paraId="4A78EB6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32/F, Building 1, 1600 Century Avenue, China (Shanghai) Pilot Free Trade Zone</w:t>
      </w:r>
    </w:p>
    <w:p w14:paraId="1BEAB33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ZHU Jian</w:t>
      </w:r>
    </w:p>
    <w:p w14:paraId="15EB248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021-32229888-33362</w:t>
      </w:r>
    </w:p>
    <w:p w14:paraId="78E5CC3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021-68728703</w:t>
      </w:r>
    </w:p>
    <w:p w14:paraId="22D89DD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ZHUANG Chuanyong</w:t>
      </w:r>
    </w:p>
    <w:p w14:paraId="6B2C3A1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www.ajzq.com</w:t>
      </w:r>
    </w:p>
    <w:p w14:paraId="1ABE51C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400-196-2502</w:t>
      </w:r>
    </w:p>
    <w:p w14:paraId="1254718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(67) Caida Securities Co., Ltd.</w:t>
      </w:r>
    </w:p>
    <w:p w14:paraId="4C94E66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35 Qiaoxi District, Shijiazhuang, Hebei Province</w:t>
      </w:r>
    </w:p>
    <w:p w14:paraId="0758798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Floors 23-36, Zhuangjia Financial Building, 35 Qiaoxi District, Shijiazhuang, Hebei Province</w:t>
      </w:r>
    </w:p>
    <w:p w14:paraId="683BF88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ZHAI Jianqiang</w:t>
      </w:r>
    </w:p>
    <w:p w14:paraId="5FBA38D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0311-66008561</w:t>
      </w:r>
    </w:p>
    <w:p w14:paraId="0624971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0311-66006334</w:t>
      </w:r>
    </w:p>
    <w:p w14:paraId="44C4D2D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LI Zhuoying</w:t>
      </w:r>
    </w:p>
    <w:p w14:paraId="4DD8CC7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www.s10000.com</w:t>
      </w:r>
    </w:p>
    <w:p w14:paraId="11287C4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95363 (within Hebei Province), 0311-95363 (outside Hebei Province)</w:t>
      </w:r>
    </w:p>
    <w:p w14:paraId="59334B4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(68) Tianfeng Securities Co., Ltd.</w:t>
      </w:r>
    </w:p>
    <w:p w14:paraId="1FDB230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4/F, Gaoke Building, 2 Guandongyuan Road, East Lake High-tech Development Zone, Wuhan, Hubei Province</w:t>
      </w:r>
    </w:p>
    <w:p w14:paraId="34DBADA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4/F, Gaoke Building, 2 Guandongyuan Road, East Lake High-tech Development Zone, Wuhan, Hubei Province</w:t>
      </w:r>
    </w:p>
    <w:p w14:paraId="6AA14E3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YU Lei</w:t>
      </w:r>
    </w:p>
    <w:p w14:paraId="49423B1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027-87618882</w:t>
      </w:r>
    </w:p>
    <w:p w14:paraId="0CE1DA8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027-87618863</w:t>
      </w:r>
    </w:p>
    <w:p w14:paraId="4F88C8C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ZHAI Jing</w:t>
      </w:r>
    </w:p>
    <w:p w14:paraId="4D8B576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www.tfzq.com</w:t>
      </w:r>
    </w:p>
    <w:p w14:paraId="75A5E85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400-800-5000</w:t>
      </w:r>
    </w:p>
    <w:p w14:paraId="78CEE8C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(69) Huachuang Securities Co., Ltd.</w:t>
      </w:r>
    </w:p>
    <w:p w14:paraId="34C4394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216 Zhonghua North Road, Guiyang, Guizhou Province</w:t>
      </w:r>
    </w:p>
    <w:p w14:paraId="66D590A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Huachuang Building, 216 Zhonghua North Road, Guiyang, Guizhou Province</w:t>
      </w:r>
    </w:p>
    <w:p w14:paraId="2A1A9A2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TAO Yongze</w:t>
      </w:r>
    </w:p>
    <w:p w14:paraId="5997A07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18698005056</w:t>
      </w:r>
    </w:p>
    <w:p w14:paraId="28F3726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CHENG Jianxin</w:t>
      </w:r>
    </w:p>
    <w:p w14:paraId="1E77F730"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http://www.hczq.com/</w:t>
      </w:r>
    </w:p>
    <w:p w14:paraId="7B52C14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4008-6666-89</w:t>
      </w:r>
    </w:p>
    <w:p w14:paraId="30CCCC2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(70) Vanho Securities Co., Ltd.</w:t>
      </w:r>
    </w:p>
    <w:p w14:paraId="3BBFEF0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2/F, Communication Plaza, 49 Nansha Road, Haikou</w:t>
      </w:r>
    </w:p>
    <w:p w14:paraId="4D41754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West Hall, 20/F, Times Technology Building, 7028 Shennan Avenue, Futian District, Shenzhen</w:t>
      </w:r>
    </w:p>
    <w:p w14:paraId="633CCBD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GAN Weibin</w:t>
      </w:r>
    </w:p>
    <w:p w14:paraId="2E64763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0755-82830333</w:t>
      </w:r>
    </w:p>
    <w:p w14:paraId="5F17A23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0755-25170093</w:t>
      </w:r>
    </w:p>
    <w:p w14:paraId="28B65B4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ZHANG Lei</w:t>
      </w:r>
    </w:p>
    <w:p w14:paraId="76D8FAC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http://www.vanho.cn/</w:t>
      </w:r>
    </w:p>
    <w:p w14:paraId="7D19766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4008-882-882</w:t>
      </w:r>
    </w:p>
    <w:p w14:paraId="54E09D5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(71) Hongxin Securities Co., Ltd.</w:t>
      </w:r>
    </w:p>
    <w:p w14:paraId="480114E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10/F, Chuanxin Building, 18 Section 2, Renmin South Road, Jinjiang District, Chengdu, Sichuan Province</w:t>
      </w:r>
    </w:p>
    <w:p w14:paraId="6C8BDD3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10/F, Chuanxin Building, No. 18, Section 2, Renmin South Road, Jinjiang District, Chengdu, Sichuan Province</w:t>
      </w:r>
    </w:p>
    <w:p w14:paraId="4CB3B95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WU Yuming</w:t>
      </w:r>
    </w:p>
    <w:p w14:paraId="25DA176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 028-86199278</w:t>
      </w:r>
    </w:p>
    <w:p w14:paraId="3AC060E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028-86199382</w:t>
      </w:r>
    </w:p>
    <w:p w14:paraId="01521DE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HAO Junjie</w:t>
      </w:r>
    </w:p>
    <w:p w14:paraId="465262F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www.hxzq.cn</w:t>
      </w:r>
    </w:p>
    <w:p w14:paraId="61AC5A9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400-836-6366</w:t>
      </w:r>
    </w:p>
    <w:p w14:paraId="2C1CB15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(72) Kaiyuan Securities Co., Ltd.</w:t>
      </w:r>
    </w:p>
    <w:p w14:paraId="63CB556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5/F, Building B, City Gate, 1 Jinye Road, High-tech Zone, Xi'an, Shaanxi Province</w:t>
      </w:r>
    </w:p>
    <w:p w14:paraId="0A99311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5/F, Building B, City Gate, 1 Jinye Road, High-tech Zone, Xi'an, Shaanxi Province</w:t>
      </w:r>
    </w:p>
    <w:p w14:paraId="31FDB1F9"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LI Gang</w:t>
      </w:r>
    </w:p>
    <w:p w14:paraId="6CA17D2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029-88447611</w:t>
      </w:r>
    </w:p>
    <w:p w14:paraId="0A4AA633"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029-88447611</w:t>
      </w:r>
    </w:p>
    <w:p w14:paraId="6CD6970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CAO Xin</w:t>
      </w:r>
    </w:p>
    <w:p w14:paraId="7F6C5FE6"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www.kysec.cn</w:t>
      </w:r>
    </w:p>
    <w:p w14:paraId="7BA7E6A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95325</w:t>
      </w:r>
    </w:p>
    <w:p w14:paraId="734958E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(73) Huajin Securities Co., Ltd.</w:t>
      </w:r>
    </w:p>
    <w:p w14:paraId="5FE3AE7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30/F, 759 Yanggao South Road, China (Shanghai) Pilot Free Trade Zone</w:t>
      </w:r>
    </w:p>
    <w:p w14:paraId="3CA804E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30/F, 759 Yanggao South Road, China (Shanghai) Pilot Free Trade Zone</w:t>
      </w:r>
    </w:p>
    <w:p w14:paraId="14D0382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SONG Weidong</w:t>
      </w:r>
    </w:p>
    <w:p w14:paraId="1307192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021-20655562</w:t>
      </w:r>
    </w:p>
    <w:p w14:paraId="125C6647"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LONG Ying</w:t>
      </w:r>
    </w:p>
    <w:p w14:paraId="7DCC705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https://www.huajinsc.cn/</w:t>
      </w:r>
    </w:p>
    <w:p w14:paraId="26FF469A"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956011</w:t>
      </w:r>
    </w:p>
    <w:p w14:paraId="2A44390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(74) LC Securities Co., Ltd.</w:t>
      </w:r>
    </w:p>
    <w:p w14:paraId="164C3BB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15/F, Building 8, 195 Hong Kong East Road, Laoshan District, Qingdao, Shandong Province</w:t>
      </w:r>
    </w:p>
    <w:p w14:paraId="059B156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27/F, CSC Fortune International Center, Building 3, Compound 5, Anding Road, Chaoyang District, Beijing</w:t>
      </w:r>
    </w:p>
    <w:p w14:paraId="2991B07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Legal Representative: Lyu Chunwei</w:t>
      </w:r>
    </w:p>
    <w:p w14:paraId="552AC19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010-86499838</w:t>
      </w:r>
    </w:p>
    <w:p w14:paraId="6451457F"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010-86499401</w:t>
      </w:r>
    </w:p>
    <w:p w14:paraId="1CE40735"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WANG Long</w:t>
      </w:r>
    </w:p>
    <w:p w14:paraId="72F54F92"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Website: http://www.lczq.com</w:t>
      </w:r>
    </w:p>
    <w:p w14:paraId="47FA93A4"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Customer Service Hotline: 956006</w:t>
      </w:r>
    </w:p>
    <w:p w14:paraId="72FEE14D" w14:textId="77777777" w:rsidR="00CE4808" w:rsidRPr="000D3C71" w:rsidRDefault="00953439" w:rsidP="00CE4808">
      <w:pPr>
        <w:pStyle w:val="affd"/>
        <w:spacing w:line="360" w:lineRule="auto"/>
        <w:ind w:firstLine="435"/>
        <w:rPr>
          <w:rFonts w:ascii="Arial" w:hAnsi="Arial" w:cs="Arial"/>
        </w:rPr>
      </w:pPr>
      <w:r w:rsidRPr="000D3C71">
        <w:rPr>
          <w:rFonts w:ascii="Arial" w:hAnsi="Arial" w:cs="Arial"/>
          <w:lang w:val="en"/>
        </w:rPr>
        <w:t>2. Secondary Market Brokers</w:t>
      </w:r>
    </w:p>
    <w:p w14:paraId="3716484D" w14:textId="77777777" w:rsidR="00CE4808" w:rsidRPr="000D3C71" w:rsidRDefault="00953439" w:rsidP="00CE4808">
      <w:pPr>
        <w:pStyle w:val="affd"/>
        <w:spacing w:line="360" w:lineRule="auto"/>
        <w:ind w:firstLine="435"/>
        <w:rPr>
          <w:rFonts w:ascii="Arial" w:hAnsi="Arial" w:cs="Arial"/>
        </w:rPr>
      </w:pPr>
      <w:r w:rsidRPr="000D3C71">
        <w:rPr>
          <w:rFonts w:ascii="Arial" w:hAnsi="Arial" w:cs="Arial"/>
          <w:lang w:val="en"/>
        </w:rPr>
        <w:t xml:space="preserve">This includes all securities companies that hold brokerage licences and are members of the Shanghai Stock Exchange. </w:t>
      </w:r>
    </w:p>
    <w:p w14:paraId="6CE0793A" w14:textId="77777777" w:rsidR="00212787"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3. The Fund Manager may, in accordance with relevant laws and regulations, select other qualified institutions to act as sales agencies for the Fund. Distributors may, based on changing circumstances, add or remove their sales cities and/or service outlets.</w:t>
      </w:r>
    </w:p>
    <w:p w14:paraId="7A979C4E" w14:textId="77777777" w:rsidR="0058308F"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 xml:space="preserve">(II) Registration and Clearing Agency: </w:t>
      </w:r>
    </w:p>
    <w:p w14:paraId="25544E74" w14:textId="77777777" w:rsidR="0058308F"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 xml:space="preserve">Name: China Securities Depository and Clearing Corporation Limited </w:t>
      </w:r>
    </w:p>
    <w:p w14:paraId="2E528432" w14:textId="77777777" w:rsidR="0058308F"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Registered Address: 17 Taipingqiao Street, Xicheng District, Beijing</w:t>
      </w:r>
    </w:p>
    <w:p w14:paraId="2EA633A7" w14:textId="77777777" w:rsidR="0058308F"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Office Address: No. 17 Taipingqiao Street, Xicheng District, Beijing</w:t>
      </w:r>
    </w:p>
    <w:p w14:paraId="39185E11" w14:textId="77777777" w:rsidR="0058308F"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Legal Representative: YU Wenqiang</w:t>
      </w:r>
    </w:p>
    <w:p w14:paraId="76DD8831" w14:textId="77777777" w:rsidR="0058308F"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Telephone: 021-68419095</w:t>
      </w:r>
    </w:p>
    <w:p w14:paraId="2BBEADB9" w14:textId="77777777" w:rsidR="0058308F"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Fax: 021-68870311</w:t>
      </w:r>
    </w:p>
    <w:p w14:paraId="4D1B57AA" w14:textId="77777777" w:rsidR="00C64488"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Contact Person: CHEN Wenxiang</w:t>
      </w:r>
    </w:p>
    <w:p w14:paraId="2CFEFD36" w14:textId="77777777" w:rsidR="0058308F"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(III) Law Firm</w:t>
      </w:r>
    </w:p>
    <w:p w14:paraId="4D44BC09" w14:textId="77777777" w:rsidR="00F04D5A"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Name: Tian Yuan Law Firm</w:t>
      </w:r>
    </w:p>
    <w:p w14:paraId="60EE80AE" w14:textId="77777777" w:rsidR="00F04D5A"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Registered Address: Suite 509, Tower A, Corporate Square, 35 Financial Street, Xicheng District, Beijing</w:t>
      </w:r>
    </w:p>
    <w:p w14:paraId="38CB8421" w14:textId="77777777" w:rsidR="00F04D5A"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Office Address: Suite 509, Tower A, Corporate Square, 35 Financial Street, Xicheng District, Beijing</w:t>
      </w:r>
    </w:p>
    <w:p w14:paraId="7298B58F" w14:textId="77777777" w:rsidR="00F04D5A"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Legal Representative: ZHU Xiaohui</w:t>
      </w:r>
    </w:p>
    <w:p w14:paraId="677A2B67" w14:textId="77777777" w:rsidR="00F04D5A"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Telephone: 010-57763999</w:t>
      </w:r>
    </w:p>
    <w:p w14:paraId="54E00361" w14:textId="77777777" w:rsidR="0058308F"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Fax: 010-57763599</w:t>
      </w:r>
    </w:p>
    <w:p w14:paraId="30EE8ED5" w14:textId="77777777" w:rsidR="00DA421E"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Contact Person: LI Han</w:t>
      </w:r>
    </w:p>
    <w:p w14:paraId="4AEA5F1D" w14:textId="77777777" w:rsidR="0058308F"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Attorneys of Record: WU Guanxiong, LI Han</w:t>
      </w:r>
    </w:p>
    <w:p w14:paraId="1C4FBE4B" w14:textId="77777777" w:rsidR="00433F5F" w:rsidRPr="000D3C71" w:rsidRDefault="00953439" w:rsidP="002C372A">
      <w:pPr>
        <w:pStyle w:val="affd"/>
        <w:spacing w:line="360" w:lineRule="auto"/>
        <w:ind w:firstLine="420"/>
        <w:rPr>
          <w:rFonts w:ascii="Arial" w:hAnsi="Arial" w:cs="Arial"/>
        </w:rPr>
      </w:pPr>
      <w:r w:rsidRPr="000D3C71">
        <w:rPr>
          <w:rFonts w:ascii="Arial" w:hAnsi="Arial" w:cs="Arial"/>
          <w:lang w:val="en"/>
        </w:rPr>
        <w:t>(IV) Accounting Firm</w:t>
      </w:r>
    </w:p>
    <w:p w14:paraId="3A440628"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Name: Ernst &amp; Young Hua Ming Certified Public Accountants (Special General Partnership)</w:t>
      </w:r>
    </w:p>
    <w:p w14:paraId="5EAD0E3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Registered Address: Rooms 01-12, 17/F, Ernst &amp; Young Tower, Oriental Plaza, 1 East Changan Avenue, Dongcheng District, Beijing</w:t>
      </w:r>
    </w:p>
    <w:p w14:paraId="30080E9B"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Office Address: 17/F, Ernst &amp; Young Tower, Oriental Plaza, No.1 East Changan Avenue, Dongcheng District, Beijing</w:t>
      </w:r>
    </w:p>
    <w:p w14:paraId="40251EFC"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Managing Partner: MAO Anning</w:t>
      </w:r>
    </w:p>
    <w:p w14:paraId="6B2278BE"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010-58153000</w:t>
      </w:r>
    </w:p>
    <w:p w14:paraId="247F110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010-85188298</w:t>
      </w:r>
    </w:p>
    <w:p w14:paraId="39BC1021"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Contact Person: JIANG Yanhua</w:t>
      </w:r>
    </w:p>
    <w:p w14:paraId="7EC3A7BD" w14:textId="7777777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Signing Certified Public Accountants: JIANG Yanhua, ZHANG Xiaoyang</w:t>
      </w:r>
    </w:p>
    <w:p w14:paraId="3306F120" w14:textId="77777777" w:rsidR="0058308F" w:rsidRPr="000D3C71" w:rsidRDefault="00953439" w:rsidP="001F268A">
      <w:pPr>
        <w:pStyle w:val="Heading3"/>
        <w:rPr>
          <w:rFonts w:ascii="Arial" w:hAnsi="Arial" w:cs="Arial"/>
          <w:bCs/>
          <w:szCs w:val="24"/>
        </w:rPr>
      </w:pPr>
      <w:bookmarkStart w:id="47" w:name="_Toc340435590"/>
      <w:bookmarkStart w:id="48" w:name="_Toc340435520"/>
      <w:bookmarkStart w:id="49" w:name="_Toc329633091"/>
      <w:bookmarkStart w:id="50" w:name="_Toc127083919"/>
      <w:bookmarkStart w:id="51" w:name="_Toc16920828"/>
      <w:bookmarkStart w:id="52" w:name="_Toc211640921"/>
      <w:r w:rsidRPr="000D3C71">
        <w:rPr>
          <w:rFonts w:ascii="Arial" w:hAnsi="Arial" w:cs="Arial"/>
          <w:bCs/>
          <w:szCs w:val="24"/>
          <w:lang w:val="en"/>
        </w:rPr>
        <w:t>VI. Fund Offering</w:t>
      </w:r>
      <w:bookmarkEnd w:id="47"/>
      <w:bookmarkEnd w:id="48"/>
      <w:bookmarkEnd w:id="49"/>
      <w:bookmarkEnd w:id="50"/>
      <w:bookmarkEnd w:id="51"/>
      <w:bookmarkEnd w:id="52"/>
    </w:p>
    <w:p w14:paraId="2C5D2F05" w14:textId="77777777" w:rsidR="0058308F" w:rsidRPr="000D3C71" w:rsidRDefault="00953439" w:rsidP="002C372A">
      <w:pPr>
        <w:pStyle w:val="affd"/>
        <w:spacing w:line="360" w:lineRule="auto"/>
        <w:ind w:firstLine="420"/>
        <w:rPr>
          <w:rFonts w:ascii="Arial" w:hAnsi="Arial" w:cs="Arial"/>
        </w:rPr>
      </w:pPr>
      <w:r w:rsidRPr="000D3C71">
        <w:rPr>
          <w:rFonts w:ascii="Arial" w:hAnsi="Arial" w:cs="Arial"/>
          <w:lang w:val="en"/>
        </w:rPr>
        <w:t xml:space="preserve">The Fund is offered by the Fund Manager in accordance with the Fund Law, the Measures for Fund Operations, the Measures for the Administration of Fund Sales, the Fund Contract, and other relevant provisions. The application for the offering of the Fund was approved by the CSRC under CSRC Permit [2012] No. 1653, dated December 10, 2012. </w:t>
      </w:r>
    </w:p>
    <w:p w14:paraId="0DE196DB" w14:textId="77777777" w:rsidR="002D0C68" w:rsidRPr="000D3C71" w:rsidRDefault="00953439" w:rsidP="002D0C68">
      <w:pPr>
        <w:pStyle w:val="affd"/>
        <w:spacing w:line="360" w:lineRule="auto"/>
        <w:ind w:firstLine="435"/>
        <w:rPr>
          <w:rFonts w:ascii="Arial" w:hAnsi="Arial" w:cs="Arial"/>
          <w:szCs w:val="21"/>
        </w:rPr>
      </w:pPr>
      <w:r w:rsidRPr="000D3C71">
        <w:rPr>
          <w:rFonts w:ascii="Arial" w:hAnsi="Arial" w:cs="Arial"/>
          <w:szCs w:val="21"/>
          <w:lang w:val="en"/>
        </w:rPr>
        <w:t>The Fund is an Exchange-Traded Fund with an indefinite Term.</w:t>
      </w:r>
    </w:p>
    <w:p w14:paraId="22650057" w14:textId="77777777" w:rsidR="002D0C68" w:rsidRPr="000D3C71" w:rsidRDefault="00953439" w:rsidP="00503FB4">
      <w:pPr>
        <w:pStyle w:val="af6"/>
        <w:tabs>
          <w:tab w:val="left" w:pos="3780"/>
        </w:tabs>
        <w:autoSpaceDE w:val="0"/>
        <w:autoSpaceDN w:val="0"/>
        <w:adjustRightInd w:val="0"/>
        <w:ind w:firstLineChars="194" w:firstLine="407"/>
        <w:rPr>
          <w:rFonts w:ascii="Arial" w:hAnsi="Arial" w:cs="Arial"/>
        </w:rPr>
      </w:pPr>
      <w:r w:rsidRPr="000D3C71">
        <w:rPr>
          <w:rFonts w:ascii="Arial" w:hAnsi="Arial" w:cs="Arial"/>
          <w:lang w:val="en"/>
        </w:rPr>
        <w:t>Each Fund unit has an initial par value of RMB1.00 and a Subscription price of RMB1.00.</w:t>
      </w:r>
    </w:p>
    <w:p w14:paraId="17CAC69A" w14:textId="77777777" w:rsidR="002D0C68" w:rsidRPr="000D3C71" w:rsidRDefault="00953439" w:rsidP="002D0C68">
      <w:pPr>
        <w:pStyle w:val="affd"/>
        <w:spacing w:line="360" w:lineRule="auto"/>
        <w:ind w:firstLine="435"/>
        <w:rPr>
          <w:rFonts w:ascii="Arial" w:hAnsi="Arial" w:cs="Arial"/>
          <w:szCs w:val="21"/>
        </w:rPr>
      </w:pPr>
      <w:r w:rsidRPr="000D3C71">
        <w:rPr>
          <w:rFonts w:ascii="Arial" w:hAnsi="Arial" w:cs="Arial"/>
          <w:szCs w:val="21"/>
          <w:lang w:val="en"/>
        </w:rPr>
        <w:t>The Fund was offered from December 17, 2012, to December 19, 2012. During the offering period, a total of 602,808,845 Fund units were subscribed to, with 5,865 valid subscribing accounts.</w:t>
      </w:r>
    </w:p>
    <w:p w14:paraId="5931AFE0" w14:textId="77777777" w:rsidR="00E530E2" w:rsidRPr="000D3C71" w:rsidRDefault="00953439" w:rsidP="001F268A">
      <w:pPr>
        <w:pStyle w:val="Heading3"/>
        <w:rPr>
          <w:rFonts w:ascii="Arial" w:hAnsi="Arial" w:cs="Arial"/>
          <w:bCs/>
          <w:szCs w:val="24"/>
        </w:rPr>
      </w:pPr>
      <w:bookmarkStart w:id="53" w:name="_Toc340435591"/>
      <w:bookmarkStart w:id="54" w:name="_Toc340435521"/>
      <w:bookmarkStart w:id="55" w:name="_Toc329633092"/>
      <w:bookmarkStart w:id="56" w:name="_Toc127083920"/>
      <w:bookmarkStart w:id="57" w:name="_Toc16920829"/>
      <w:bookmarkStart w:id="58" w:name="_Toc211640922"/>
      <w:r w:rsidRPr="000D3C71">
        <w:rPr>
          <w:rFonts w:ascii="Arial" w:hAnsi="Arial" w:cs="Arial"/>
          <w:bCs/>
          <w:szCs w:val="24"/>
          <w:lang w:val="en"/>
        </w:rPr>
        <w:t>VII. Effectiveness of the Fund Contract</w:t>
      </w:r>
      <w:bookmarkEnd w:id="53"/>
      <w:bookmarkEnd w:id="54"/>
      <w:bookmarkEnd w:id="55"/>
      <w:bookmarkEnd w:id="56"/>
      <w:bookmarkEnd w:id="57"/>
      <w:bookmarkEnd w:id="58"/>
    </w:p>
    <w:p w14:paraId="62350B79" w14:textId="77777777" w:rsidR="002D0C68"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In accordance with relevant regulations, the Fund satisfied the conditions for the Fund Contract to become effective, and the Fund Contract became effective on December 25, 2012. From the Fund Contract Effective Date, the Fund Manager officially began managing the Fund.</w:t>
      </w:r>
    </w:p>
    <w:p w14:paraId="28061EC3" w14:textId="77777777" w:rsidR="00E530E2"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After the Fund Contract comes into effect, if the number of Fund Unitholders falls below 200 or the NAV of the Fund falls below RMB 50 million, the Fund Manager must promptly report to the CSRC. If either of these circumstances persists for 20 consecutive business days, the Fund Manager must explain the reasons to the CSRC and submit a proposed solution.</w:t>
      </w:r>
    </w:p>
    <w:p w14:paraId="0DD6F7B5" w14:textId="77777777" w:rsidR="00E530E2"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Where laws and regulations provide otherwise, such provisions shall prevail.</w:t>
      </w:r>
    </w:p>
    <w:p w14:paraId="0AE99E91" w14:textId="77777777" w:rsidR="00E530E2" w:rsidRPr="000D3C71" w:rsidRDefault="00953439" w:rsidP="002C372A">
      <w:pPr>
        <w:pStyle w:val="Heading3"/>
        <w:rPr>
          <w:rFonts w:ascii="Arial" w:hAnsi="Arial" w:cs="Arial"/>
        </w:rPr>
      </w:pPr>
      <w:bookmarkStart w:id="59" w:name="_Toc340435592"/>
      <w:bookmarkStart w:id="60" w:name="_Toc340435522"/>
      <w:bookmarkStart w:id="61" w:name="_Toc329633093"/>
      <w:bookmarkStart w:id="62" w:name="_Toc127083922"/>
      <w:bookmarkStart w:id="63" w:name="_Toc211640923"/>
      <w:r w:rsidRPr="000D3C71">
        <w:rPr>
          <w:rFonts w:ascii="Arial" w:hAnsi="Arial" w:cs="Arial"/>
          <w:bCs/>
          <w:lang w:val="en"/>
        </w:rPr>
        <w:t>VIII. Trading of Fund Units</w:t>
      </w:r>
      <w:bookmarkEnd w:id="59"/>
      <w:bookmarkEnd w:id="60"/>
      <w:bookmarkEnd w:id="61"/>
      <w:bookmarkEnd w:id="62"/>
      <w:bookmarkEnd w:id="63"/>
    </w:p>
    <w:p w14:paraId="3F74E2EA" w14:textId="77777777" w:rsidR="000F415E"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(I) Listing of the Fund on the Shanghai Stock Exchange</w:t>
      </w:r>
    </w:p>
    <w:p w14:paraId="0231F45E" w14:textId="77777777" w:rsidR="002D0C68"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After the Fund Contract became effective and the Fund met the listing requirements in accordance with relevant regulations, the Fund was listed and began trading on the Shanghai Stock Exchange on January 16, 2013 (trading code: 510330).</w:t>
      </w:r>
    </w:p>
    <w:p w14:paraId="517866F4" w14:textId="77777777" w:rsidR="000F415E"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(II) Trading of the Fund on the Shanghai Stock Exchange</w:t>
      </w:r>
    </w:p>
    <w:p w14:paraId="13129050" w14:textId="77777777" w:rsidR="000F415E"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 xml:space="preserve">The listing and trading of Fund units on the Shanghai Stock Exchange are subject to the Trading Rules of the Shanghai Stock Exchange, the Rules Governing the Listing of Securities Investment Funds on the Shanghai Stock Exchange, the Implementation Rules of the Shanghai Stock Exchange for Exchange Traded Funds, and other relevant regulations. </w:t>
      </w:r>
    </w:p>
    <w:p w14:paraId="4A37063C" w14:textId="77777777" w:rsidR="000F415E"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If the Shanghai Stock Exchange introduces a structured exchange-traded fund share class model, the Fund Manager may, with the mutual agreement of the Fund Custodian, add structured share classes for the Fund, subject to CSRC approval or filing and subsequent public announcement.</w:t>
      </w:r>
    </w:p>
    <w:p w14:paraId="3BF6F5FA" w14:textId="77777777" w:rsidR="00CD73BD"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(III) Calculation of IOPV</w:t>
      </w:r>
    </w:p>
    <w:p w14:paraId="0C474AEB" w14:textId="77777777" w:rsidR="00CD73BD"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Before the market opens on each dealing day, the Fund Manager will publish the Portfolio Composition File (PCF) for that day. After the market opens, China Securities Index Co., Ltd. will calculate the Indicative Optimized Portfolio Value (IOPV) of the Fund units based on the PCF and the real-time transaction data of each security in the portfolio. The results will be sent to the Shanghai Stock Exchange for publication and are provided solely for investors’ reference when trading, creating, or redeeming Fund units.</w:t>
      </w:r>
    </w:p>
    <w:p w14:paraId="2611DDB5" w14:textId="77777777" w:rsidR="00CD73BD"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1. The formula for calculating the IOPV is as follows:</w:t>
      </w:r>
    </w:p>
    <w:p w14:paraId="16733569" w14:textId="77777777" w:rsidR="00CD73BD"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IOPV = [ (Mandatory Cash-in-Lieu Amount) + (Value of Adjustment Cash-in-Lieu Securities) + (Value of Permitted Cash-in-Lieu Securities) + (Value of In-Kind Securities) + (Estimated Cash Component) ] / Number of Fund Shares per Creation Unit</w:t>
      </w:r>
    </w:p>
    <w:p w14:paraId="5CD4A9A7" w14:textId="77777777" w:rsidR="00CD73BD"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2. The IOPV is rounded to three decimal places.</w:t>
      </w:r>
    </w:p>
    <w:p w14:paraId="657D4175" w14:textId="77777777" w:rsidR="00CD73BD"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3. The Fund Manager may adjust the IOPV calculation formula and will make a public announcement accordingly.</w:t>
      </w:r>
    </w:p>
    <w:p w14:paraId="114524E3" w14:textId="77777777" w:rsidR="000F415E"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(IV) Circumstances for Delisting from the Shanghai Stock Exchange</w:t>
      </w:r>
    </w:p>
    <w:p w14:paraId="24A4C3DA" w14:textId="77777777" w:rsidR="000F415E"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After listing, if any of the following circumstances occurs, the Shanghai Stock Exchange may terminate the Fund’s listing and trading, and file with the CSRC:</w:t>
      </w:r>
    </w:p>
    <w:p w14:paraId="5FFA3C30" w14:textId="77777777" w:rsidR="00C204C3"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 xml:space="preserve">1. The Fund no longer meets the listing requirements stipulated in Section (I) above. </w:t>
      </w:r>
    </w:p>
    <w:p w14:paraId="1DE3EDE8" w14:textId="77777777" w:rsidR="00C204C3"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 xml:space="preserve">2. The Fund Contract is terminated. </w:t>
      </w:r>
    </w:p>
    <w:p w14:paraId="4C2AA968" w14:textId="77777777" w:rsidR="00C204C3"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 xml:space="preserve">3. The Fund Unitholders' meeting resolves to terminate the listing early. </w:t>
      </w:r>
    </w:p>
    <w:p w14:paraId="1BB1E99A" w14:textId="77777777" w:rsidR="00C204C3"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4. Other delisting circumstances stipulated in the Fund Contract.</w:t>
      </w:r>
    </w:p>
    <w:p w14:paraId="135B853A" w14:textId="77777777" w:rsidR="000F415E" w:rsidRPr="000D3C71" w:rsidRDefault="00953439" w:rsidP="002C372A">
      <w:pPr>
        <w:pStyle w:val="af6"/>
        <w:ind w:firstLineChars="0"/>
        <w:rPr>
          <w:rFonts w:ascii="Arial" w:hAnsi="Arial" w:cs="Arial"/>
        </w:rPr>
      </w:pPr>
      <w:r w:rsidRPr="000D3C71">
        <w:rPr>
          <w:rFonts w:ascii="Arial" w:hAnsi="Arial" w:cs="Arial"/>
          <w:lang w:val="en"/>
        </w:rPr>
        <w:t>5. Other circumstances as determined by the Shanghai Stock Exchange for delisting.</w:t>
      </w:r>
    </w:p>
    <w:p w14:paraId="3912B21A" w14:textId="77777777" w:rsidR="000F415E" w:rsidRPr="000D3C71" w:rsidRDefault="00953439" w:rsidP="00503FB4">
      <w:pPr>
        <w:pStyle w:val="af6"/>
        <w:rPr>
          <w:rFonts w:ascii="Arial" w:hAnsi="Arial" w:cs="Arial"/>
        </w:rPr>
      </w:pPr>
      <w:r w:rsidRPr="000D3C71">
        <w:rPr>
          <w:rFonts w:ascii="Arial" w:hAnsi="Arial" w:cs="Arial"/>
          <w:lang w:val="en"/>
        </w:rPr>
        <w:t>If the Fund is delisted from the Shanghai Stock Exchange due to the reasons in items 1, 3, 4, or 5 above, it may be converted from an Exchange Traded Fund into a non-listed open-end index fund tracking the Underlying Index.</w:t>
      </w:r>
    </w:p>
    <w:p w14:paraId="1D47537C" w14:textId="77777777" w:rsidR="00E530E2"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(V) If laws, regulations, regulatory authorities, or the Shanghai Stock Exchange provide otherwise regarding listing and trading, such provisions shall prevail.</w:t>
      </w:r>
    </w:p>
    <w:p w14:paraId="545A6CD3" w14:textId="77777777" w:rsidR="007167F0" w:rsidRPr="000D3C71" w:rsidRDefault="00953439" w:rsidP="002C372A">
      <w:pPr>
        <w:pStyle w:val="Heading3"/>
        <w:rPr>
          <w:rFonts w:ascii="Arial" w:hAnsi="Arial" w:cs="Arial"/>
        </w:rPr>
      </w:pPr>
      <w:bookmarkStart w:id="64" w:name="_Toc340435593"/>
      <w:bookmarkStart w:id="65" w:name="_Toc340435523"/>
      <w:bookmarkStart w:id="66" w:name="_Toc329633094"/>
      <w:bookmarkStart w:id="67" w:name="_Toc127083923"/>
      <w:bookmarkStart w:id="68" w:name="_Toc211640924"/>
      <w:r w:rsidRPr="000D3C71">
        <w:rPr>
          <w:rFonts w:ascii="Arial" w:hAnsi="Arial" w:cs="Arial"/>
          <w:bCs/>
          <w:lang w:val="en"/>
        </w:rPr>
        <w:t>IX. Creation and Redemption of Fund Units</w:t>
      </w:r>
      <w:bookmarkEnd w:id="64"/>
      <w:bookmarkEnd w:id="65"/>
      <w:bookmarkEnd w:id="66"/>
      <w:bookmarkEnd w:id="67"/>
      <w:bookmarkEnd w:id="68"/>
    </w:p>
    <w:p w14:paraId="2C0DBE02" w14:textId="77777777" w:rsidR="007167F0" w:rsidRPr="000D3C71" w:rsidRDefault="00953439" w:rsidP="00503FB4">
      <w:pPr>
        <w:pStyle w:val="af6"/>
        <w:rPr>
          <w:rFonts w:ascii="Arial" w:hAnsi="Arial" w:cs="Arial"/>
        </w:rPr>
      </w:pPr>
      <w:r w:rsidRPr="000D3C71">
        <w:rPr>
          <w:rFonts w:ascii="Arial" w:hAnsi="Arial" w:cs="Arial"/>
          <w:lang w:val="en"/>
        </w:rPr>
        <w:t>(I) Venues for Creation and Redemption</w:t>
      </w:r>
    </w:p>
    <w:p w14:paraId="263F2706" w14:textId="77777777" w:rsidR="00677CCC" w:rsidRPr="000D3C71" w:rsidRDefault="00953439" w:rsidP="00503FB4">
      <w:pPr>
        <w:pStyle w:val="af6"/>
        <w:rPr>
          <w:rFonts w:ascii="Arial" w:hAnsi="Arial" w:cs="Arial"/>
        </w:rPr>
      </w:pPr>
      <w:r w:rsidRPr="000D3C71">
        <w:rPr>
          <w:rFonts w:ascii="Arial" w:hAnsi="Arial" w:cs="Arial"/>
          <w:lang w:val="en"/>
        </w:rPr>
        <w:t>1. On-Exchange Creation and Redemption</w:t>
      </w:r>
    </w:p>
    <w:p w14:paraId="5FC8D1EB" w14:textId="77777777" w:rsidR="007167F0" w:rsidRPr="000D3C71" w:rsidRDefault="00953439" w:rsidP="00503FB4">
      <w:pPr>
        <w:pStyle w:val="af6"/>
        <w:rPr>
          <w:rFonts w:ascii="Arial" w:hAnsi="Arial" w:cs="Arial"/>
        </w:rPr>
      </w:pPr>
      <w:r w:rsidRPr="000D3C71">
        <w:rPr>
          <w:rFonts w:ascii="Arial" w:hAnsi="Arial" w:cs="Arial"/>
          <w:lang w:val="en"/>
        </w:rPr>
        <w:t>Investors shall process creation and redemption of the Fund at the business premises of the Fund’s authorized participants, or through other methods provided by such agents.</w:t>
      </w:r>
    </w:p>
    <w:p w14:paraId="3629FBD0" w14:textId="77777777" w:rsidR="008C25EF" w:rsidRPr="000D3C71" w:rsidRDefault="00953439" w:rsidP="000A1DB6">
      <w:pPr>
        <w:pStyle w:val="affd"/>
        <w:spacing w:line="360" w:lineRule="auto"/>
        <w:ind w:firstLine="435"/>
        <w:rPr>
          <w:rFonts w:ascii="Arial" w:hAnsi="Arial" w:cs="Arial"/>
        </w:rPr>
      </w:pPr>
      <w:r w:rsidRPr="000D3C71">
        <w:rPr>
          <w:rFonts w:ascii="Arial" w:hAnsi="Arial" w:cs="Arial"/>
          <w:lang w:val="en"/>
        </w:rPr>
        <w:t>For details such as the names and addresses of the Fund’s authorized participants, please refer to the relevant description under “(I) Distributors” in “V. Relevant Service Agencies” in this Prospectus.</w:t>
      </w:r>
    </w:p>
    <w:p w14:paraId="03AE336E" w14:textId="77777777" w:rsidR="00C473D7" w:rsidRPr="000D3C71" w:rsidRDefault="00953439" w:rsidP="000A1DB6">
      <w:pPr>
        <w:pStyle w:val="affd"/>
        <w:spacing w:line="360" w:lineRule="auto"/>
        <w:ind w:firstLine="435"/>
        <w:rPr>
          <w:rFonts w:ascii="Arial" w:hAnsi="Arial" w:cs="Arial"/>
        </w:rPr>
      </w:pPr>
      <w:r w:rsidRPr="000D3C71">
        <w:rPr>
          <w:rFonts w:ascii="Arial" w:hAnsi="Arial" w:cs="Arial"/>
          <w:szCs w:val="21"/>
          <w:lang w:val="en"/>
        </w:rPr>
        <w:t>The Fund Manager may adjust, add, or remove authorized participants as needed, and will announce such changes on the Fund Manager’s website.</w:t>
      </w:r>
    </w:p>
    <w:p w14:paraId="4CF7C6C5" w14:textId="77777777" w:rsidR="00677CCC" w:rsidRPr="000D3C71" w:rsidRDefault="00953439" w:rsidP="008C25EF">
      <w:pPr>
        <w:pStyle w:val="affd"/>
        <w:spacing w:line="360" w:lineRule="auto"/>
        <w:ind w:firstLine="435"/>
        <w:rPr>
          <w:rFonts w:ascii="Arial" w:hAnsi="Arial" w:cs="Arial"/>
        </w:rPr>
      </w:pPr>
      <w:r w:rsidRPr="000D3C71">
        <w:rPr>
          <w:rFonts w:ascii="Arial" w:hAnsi="Arial" w:cs="Arial"/>
          <w:lang w:val="en"/>
        </w:rPr>
        <w:t>2. Off-exchange In-Kind Creation and Redemption</w:t>
      </w:r>
    </w:p>
    <w:p w14:paraId="58915C2A" w14:textId="77777777" w:rsidR="00677CCC"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Investors may conduct off-exchange in-kind creation and redemption transactions through the Fund Manager’s Beijing Branch and its investment and wealth management centers located in Beijing.</w:t>
      </w:r>
    </w:p>
    <w:p w14:paraId="5B89A6F9" w14:textId="77777777" w:rsidR="00E92392" w:rsidRPr="000D3C71" w:rsidRDefault="00953439" w:rsidP="00E92392">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(1) Beijing Branch</w:t>
      </w:r>
    </w:p>
    <w:p w14:paraId="4AD797FE" w14:textId="77777777" w:rsidR="00E92392" w:rsidRPr="000D3C71" w:rsidRDefault="00953439" w:rsidP="00E92392">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Address: 1/F, Tower B, Tongtai Building, 33 Financial Street, Xicheng District, Beijing 100033</w:t>
      </w:r>
    </w:p>
    <w:p w14:paraId="4BEEB693" w14:textId="77777777" w:rsidR="00E92392" w:rsidRPr="000D3C71" w:rsidRDefault="00953439" w:rsidP="00E92392">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010-88087226</w:t>
      </w:r>
    </w:p>
    <w:p w14:paraId="1FDF144C" w14:textId="77777777" w:rsidR="00E92392" w:rsidRPr="000D3C71" w:rsidRDefault="00953439" w:rsidP="00E92392">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010-88066028</w:t>
      </w:r>
    </w:p>
    <w:p w14:paraId="4C1A7ADB" w14:textId="77777777" w:rsidR="00E92392" w:rsidRPr="000D3C71" w:rsidRDefault="00953439" w:rsidP="00E92392">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(2) Beijing West Third Ring Investment and Wealth Management Center</w:t>
      </w:r>
    </w:p>
    <w:p w14:paraId="2EE7F5D5" w14:textId="77777777" w:rsidR="00E92392" w:rsidRPr="000D3C71" w:rsidRDefault="00953439" w:rsidP="00E92392">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Address: 107-108A, 1/F, Building 1, Xihai International Center, 99 North Third Ring West Road, Haidian District, Beijing 100089</w:t>
      </w:r>
    </w:p>
    <w:p w14:paraId="13CEB0CB" w14:textId="77777777" w:rsidR="00E92392" w:rsidRPr="000D3C71" w:rsidRDefault="00953439" w:rsidP="00E92392">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010-82523198</w:t>
      </w:r>
    </w:p>
    <w:p w14:paraId="7B610900" w14:textId="77777777" w:rsidR="00E92392" w:rsidRPr="000D3C71" w:rsidRDefault="00953439" w:rsidP="00E92392">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010-82523196</w:t>
      </w:r>
    </w:p>
    <w:p w14:paraId="54A33A1D" w14:textId="77777777" w:rsidR="00E92392" w:rsidRPr="000D3C71" w:rsidRDefault="00953439" w:rsidP="00E92392">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(3) Beijing Wangjing Investment and Wealth Management Center</w:t>
      </w:r>
    </w:p>
    <w:p w14:paraId="14F940C8" w14:textId="77777777" w:rsidR="00E92392" w:rsidRPr="000D3C71" w:rsidRDefault="00953439" w:rsidP="00E92392">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Address: 103, Greenland China Jin, Hongtai East Street, Wangjing, Chaoyang District, Beijing 100102</w:t>
      </w:r>
    </w:p>
    <w:p w14:paraId="3936EEC1" w14:textId="77777777" w:rsidR="00E92392" w:rsidRPr="000D3C71" w:rsidRDefault="00953439" w:rsidP="00E92392">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010- 64709882</w:t>
      </w:r>
    </w:p>
    <w:p w14:paraId="0B724180" w14:textId="77777777" w:rsidR="00E92392" w:rsidRPr="000D3C71" w:rsidRDefault="00953439" w:rsidP="00E92392">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Fax: 010- 64702330</w:t>
      </w:r>
    </w:p>
    <w:p w14:paraId="394787BE" w14:textId="77777777" w:rsidR="00E92392" w:rsidRPr="000D3C71" w:rsidRDefault="00953439" w:rsidP="00E92392">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(4) Beijing Chaoyang Investment and Wealth Management Center</w:t>
      </w:r>
    </w:p>
    <w:p w14:paraId="082F5F5D" w14:textId="77777777" w:rsidR="00E92392" w:rsidRPr="000D3C71" w:rsidRDefault="00953439" w:rsidP="00E92392">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Address: 2/F, Zhaotai International AB Tower, Chaoyangmen, Chaoyang District, Beijing 100020</w:t>
      </w:r>
    </w:p>
    <w:p w14:paraId="1C6A365F" w14:textId="77777777" w:rsidR="00E92392" w:rsidRPr="000D3C71" w:rsidRDefault="00953439" w:rsidP="00E92392">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Telephone: 010- 64185185</w:t>
      </w:r>
    </w:p>
    <w:p w14:paraId="31B4AE35" w14:textId="77777777" w:rsidR="000D7FB7" w:rsidRPr="000D3C71" w:rsidRDefault="00953439" w:rsidP="000A1DB6">
      <w:pPr>
        <w:pStyle w:val="affd"/>
        <w:spacing w:line="360" w:lineRule="auto"/>
        <w:ind w:firstLine="435"/>
        <w:rPr>
          <w:rFonts w:ascii="Arial" w:hAnsi="Arial" w:cs="Arial"/>
        </w:rPr>
      </w:pPr>
      <w:r w:rsidRPr="000D3C71">
        <w:rPr>
          <w:rFonts w:ascii="Arial" w:hAnsi="Arial" w:cs="Arial"/>
          <w:color w:val="000000"/>
          <w:lang w:val="en"/>
        </w:rPr>
        <w:t>Fax: 010- 64185180</w:t>
      </w:r>
    </w:p>
    <w:p w14:paraId="7B8BFCF8" w14:textId="77777777" w:rsidR="000A1DB6" w:rsidRPr="000D3C71" w:rsidRDefault="00953439" w:rsidP="000A1DB6">
      <w:pPr>
        <w:pStyle w:val="affd"/>
        <w:spacing w:line="360" w:lineRule="auto"/>
        <w:ind w:firstLine="435"/>
        <w:rPr>
          <w:rFonts w:ascii="Arial" w:hAnsi="Arial" w:cs="Arial"/>
        </w:rPr>
      </w:pPr>
      <w:r w:rsidRPr="000D3C71">
        <w:rPr>
          <w:rFonts w:ascii="Arial" w:hAnsi="Arial" w:cs="Arial"/>
          <w:szCs w:val="21"/>
          <w:lang w:val="en"/>
        </w:rPr>
        <w:t>The Fund Manager may adjust, add, or remove authorized participants as needed, and will announce such changes on the Fund Manager’s website.</w:t>
      </w:r>
    </w:p>
    <w:p w14:paraId="4474AE81" w14:textId="77777777" w:rsidR="007167F0" w:rsidRPr="000D3C71" w:rsidRDefault="00953439" w:rsidP="00503FB4">
      <w:pPr>
        <w:pStyle w:val="af6"/>
        <w:rPr>
          <w:rFonts w:ascii="Arial" w:hAnsi="Arial" w:cs="Arial"/>
        </w:rPr>
      </w:pPr>
      <w:r w:rsidRPr="000D3C71">
        <w:rPr>
          <w:rFonts w:ascii="Arial" w:hAnsi="Arial" w:cs="Arial"/>
          <w:lang w:val="en"/>
        </w:rPr>
        <w:t>(II) Dealing Days and Opening Hours for Creation and Redemption</w:t>
      </w:r>
    </w:p>
    <w:p w14:paraId="4B5760CE" w14:textId="77777777" w:rsidR="007167F0" w:rsidRPr="000D3C71" w:rsidRDefault="00953439" w:rsidP="00503FB4">
      <w:pPr>
        <w:pStyle w:val="af6"/>
        <w:rPr>
          <w:rFonts w:ascii="Arial" w:hAnsi="Arial" w:cs="Arial"/>
        </w:rPr>
      </w:pPr>
      <w:r w:rsidRPr="000D3C71">
        <w:rPr>
          <w:rFonts w:ascii="Arial" w:hAnsi="Arial" w:cs="Arial"/>
          <w:lang w:val="en"/>
        </w:rPr>
        <w:t>1. Dealing Days and Opening Hours</w:t>
      </w:r>
    </w:p>
    <w:p w14:paraId="7229A5C9" w14:textId="77777777" w:rsidR="00824ADF" w:rsidRPr="000D3C71" w:rsidRDefault="00953439" w:rsidP="00503FB4">
      <w:pPr>
        <w:pStyle w:val="af6"/>
        <w:rPr>
          <w:rFonts w:ascii="Arial" w:hAnsi="Arial" w:cs="Arial"/>
        </w:rPr>
      </w:pPr>
      <w:r w:rsidRPr="000D3C71">
        <w:rPr>
          <w:rFonts w:ascii="Arial" w:hAnsi="Arial" w:cs="Arial"/>
          <w:lang w:val="en"/>
        </w:rPr>
        <w:t>The dealing days for the creation and redemption of Fund units are the normal trading days of the Shanghai Stock Exchange and the Shenzhen Stock Exchange, except where the Fund Manager announces a suspension of creations or redemptions in accordance with applicable laws and regulations, requirements of the CSRC, or the provisions of the Fund Contract. The Opening Hours are the trading hours of the Shanghai Stock Exchange and the Shenzhen Stock Exchange.</w:t>
      </w:r>
    </w:p>
    <w:p w14:paraId="42C9FFE3" w14:textId="77777777" w:rsidR="007167F0" w:rsidRPr="000D3C71" w:rsidRDefault="00953439" w:rsidP="00503FB4">
      <w:pPr>
        <w:pStyle w:val="af6"/>
        <w:rPr>
          <w:rFonts w:ascii="Arial" w:hAnsi="Arial" w:cs="Arial"/>
        </w:rPr>
      </w:pPr>
      <w:r w:rsidRPr="000D3C71">
        <w:rPr>
          <w:rFonts w:ascii="Arial" w:hAnsi="Arial" w:cs="Arial"/>
          <w:lang w:val="en"/>
        </w:rPr>
        <w:t>Off-exchange investors shall apply for the off-exchange creation and redemption of Fund units on dealing days. The cut-off time for off-exchange creations and redemptions is 14:00 on a dealing day. The Fund Manager may adjust this time as actual circumstances require, and the specific processing times shall be subject to the Fund Manager’s rules. This requirement shall not apply when the Fund Manager announces a suspension of creations or redemptions in accordance with applicable laws and regulations, CSRC requirements, or the provisions of the Fund Contract.</w:t>
      </w:r>
    </w:p>
    <w:p w14:paraId="5A6A88A5" w14:textId="77777777" w:rsidR="00907459" w:rsidRPr="000D3C71" w:rsidRDefault="00953439" w:rsidP="00503FB4">
      <w:pPr>
        <w:pStyle w:val="af6"/>
        <w:rPr>
          <w:rFonts w:ascii="Arial" w:hAnsi="Arial" w:cs="Arial"/>
        </w:rPr>
      </w:pPr>
      <w:r w:rsidRPr="000D3C71">
        <w:rPr>
          <w:rFonts w:ascii="Arial" w:hAnsi="Arial" w:cs="Arial"/>
          <w:lang w:val="en"/>
        </w:rPr>
        <w:t>The opening hours for off-exchange creations and redemptions differ from those for on-exchange creations and redemptions. Investors should refer to the relevant announcements published by the Fund Manager and pay attention to the submission times for their transaction applications.</w:t>
      </w:r>
    </w:p>
    <w:p w14:paraId="44091255" w14:textId="77777777" w:rsidR="007167F0" w:rsidRPr="000D3C71" w:rsidRDefault="00953439" w:rsidP="00503FB4">
      <w:pPr>
        <w:pStyle w:val="af6"/>
        <w:rPr>
          <w:rFonts w:ascii="Arial" w:hAnsi="Arial" w:cs="Arial"/>
        </w:rPr>
      </w:pPr>
      <w:r w:rsidRPr="000D3C71">
        <w:rPr>
          <w:rFonts w:ascii="Arial" w:hAnsi="Arial" w:cs="Arial"/>
          <w:lang w:val="en"/>
        </w:rPr>
        <w:t>After the Fund Contract becomes effective, if new securities trading markets emerge, the trading hours of stock exchanges change, or actual circumstances so require, the Fund Manager may accordingly adjust the aforementioned dealing days and Opening Hours. Such adjustments shall be announced on the Designated Media in accordance with the relevant provisions of the Measures for Information Disclosure before implementation.</w:t>
      </w:r>
    </w:p>
    <w:p w14:paraId="2B113267" w14:textId="77777777" w:rsidR="007167F0" w:rsidRPr="000D3C71" w:rsidRDefault="00953439" w:rsidP="00503FB4">
      <w:pPr>
        <w:pStyle w:val="af6"/>
        <w:rPr>
          <w:rFonts w:ascii="Arial" w:hAnsi="Arial" w:cs="Arial"/>
        </w:rPr>
      </w:pPr>
      <w:r w:rsidRPr="000D3C71">
        <w:rPr>
          <w:rFonts w:ascii="Arial" w:hAnsi="Arial" w:cs="Arial"/>
          <w:lang w:val="en"/>
        </w:rPr>
        <w:t>2. Start Date and Business Hours for Creation and Redemption</w:t>
      </w:r>
    </w:p>
    <w:p w14:paraId="4DC765FF" w14:textId="77777777" w:rsidR="00BC6646" w:rsidRPr="000D3C71" w:rsidRDefault="00953439" w:rsidP="00503FB4">
      <w:pPr>
        <w:pStyle w:val="af6"/>
        <w:rPr>
          <w:rFonts w:ascii="Arial" w:hAnsi="Arial" w:cs="Arial"/>
        </w:rPr>
      </w:pPr>
      <w:r w:rsidRPr="000D3C71">
        <w:rPr>
          <w:rFonts w:ascii="Arial" w:hAnsi="Arial" w:cs="Arial"/>
          <w:lang w:val="en"/>
        </w:rPr>
        <w:t>The Fund commenced daily creation and redemption operations on January 16, 2013.</w:t>
      </w:r>
    </w:p>
    <w:p w14:paraId="75A0B389" w14:textId="77777777" w:rsidR="007167F0" w:rsidRPr="000D3C71" w:rsidRDefault="00953439" w:rsidP="00503FB4">
      <w:pPr>
        <w:pStyle w:val="af6"/>
        <w:rPr>
          <w:rFonts w:ascii="Arial" w:hAnsi="Arial" w:cs="Arial"/>
        </w:rPr>
      </w:pPr>
      <w:r w:rsidRPr="000D3C71">
        <w:rPr>
          <w:rFonts w:ascii="Arial" w:hAnsi="Arial" w:cs="Arial"/>
          <w:lang w:val="en"/>
        </w:rPr>
        <w:t>(III) Principles of Creation and Redemption</w:t>
      </w:r>
    </w:p>
    <w:p w14:paraId="31148F0C" w14:textId="77777777" w:rsidR="007167F0" w:rsidRPr="000D3C71" w:rsidRDefault="00953439" w:rsidP="00503FB4">
      <w:pPr>
        <w:pStyle w:val="af6"/>
        <w:rPr>
          <w:rFonts w:ascii="Arial" w:hAnsi="Arial" w:cs="Arial"/>
        </w:rPr>
      </w:pPr>
      <w:r w:rsidRPr="000D3C71">
        <w:rPr>
          <w:rFonts w:ascii="Arial" w:hAnsi="Arial" w:cs="Arial"/>
          <w:lang w:val="en"/>
        </w:rPr>
        <w:t>1. Both on-exchange and off-exchange in-kind creations and redemptions are conducted on a Fund Unit basis, meaning that applications for both creations and redemptions are expressed in Fund units.</w:t>
      </w:r>
    </w:p>
    <w:p w14:paraId="7CC097FF" w14:textId="77777777" w:rsidR="007167F0" w:rsidRPr="000D3C71" w:rsidRDefault="00953439" w:rsidP="00503FB4">
      <w:pPr>
        <w:pStyle w:val="af6"/>
        <w:rPr>
          <w:rFonts w:ascii="Arial" w:hAnsi="Arial" w:cs="Arial"/>
        </w:rPr>
      </w:pPr>
      <w:r w:rsidRPr="000D3C71">
        <w:rPr>
          <w:rFonts w:ascii="Arial" w:hAnsi="Arial" w:cs="Arial"/>
          <w:lang w:val="en"/>
        </w:rPr>
        <w:t>2. The creation consideration and redemption consideration for on-exchange and off-exchange in-kind creations and redemptions include portfolio securities, cash-in-lieu, cash component, and other consideration.</w:t>
      </w:r>
    </w:p>
    <w:p w14:paraId="03940D46" w14:textId="77777777" w:rsidR="007167F0" w:rsidRPr="000D3C71" w:rsidRDefault="00953439" w:rsidP="00503FB4">
      <w:pPr>
        <w:pStyle w:val="af6"/>
        <w:rPr>
          <w:rFonts w:ascii="Arial" w:hAnsi="Arial" w:cs="Arial"/>
        </w:rPr>
      </w:pPr>
      <w:r w:rsidRPr="000D3C71">
        <w:rPr>
          <w:rFonts w:ascii="Arial" w:hAnsi="Arial" w:cs="Arial"/>
          <w:lang w:val="en"/>
        </w:rPr>
        <w:t>3. Once submitted, creation and redemption applications may not be withdrawn.</w:t>
      </w:r>
    </w:p>
    <w:p w14:paraId="61CDDED0" w14:textId="77777777" w:rsidR="007167F0" w:rsidRPr="000D3C71" w:rsidRDefault="00953439" w:rsidP="00503FB4">
      <w:pPr>
        <w:pStyle w:val="af6"/>
        <w:rPr>
          <w:rFonts w:ascii="Arial" w:hAnsi="Arial" w:cs="Arial"/>
        </w:rPr>
      </w:pPr>
      <w:r w:rsidRPr="000D3C71">
        <w:rPr>
          <w:rFonts w:ascii="Arial" w:hAnsi="Arial" w:cs="Arial"/>
          <w:lang w:val="en"/>
        </w:rPr>
        <w:t>4. On-exchange creations and redemptions shall comply with the provisions of the Implementing Rules of the Shanghai Stock Exchange for Exchange-Traded Funds and the Implementation Rules of China Securities Depository and Clearing Corporation Limited on the Registration and Clearing Services for Exchange-Traded Funds.</w:t>
      </w:r>
    </w:p>
    <w:p w14:paraId="31E9CE18" w14:textId="77777777" w:rsidR="007167F0" w:rsidRPr="000D3C71" w:rsidRDefault="00953439" w:rsidP="00503FB4">
      <w:pPr>
        <w:pStyle w:val="af6"/>
        <w:rPr>
          <w:rFonts w:ascii="Arial" w:hAnsi="Arial" w:cs="Arial"/>
        </w:rPr>
      </w:pPr>
      <w:r w:rsidRPr="000D3C71">
        <w:rPr>
          <w:rFonts w:ascii="Arial" w:hAnsi="Arial" w:cs="Arial"/>
          <w:lang w:val="en"/>
        </w:rPr>
        <w:t>5. The Fund Manager may adjust the above principles, provided such adjustments do not contravene laws and regulations and do not have a material adverse effect on the interests of Fund Unitholders. The Fund Manager must publish an announcement on the Designated Media in accordance with the relevant provisions of the Measures for Information Disclosure prior to the effective date of the new rules.</w:t>
      </w:r>
    </w:p>
    <w:p w14:paraId="71944436" w14:textId="77777777" w:rsidR="007167F0" w:rsidRPr="000D3C71" w:rsidRDefault="00953439" w:rsidP="00503FB4">
      <w:pPr>
        <w:pStyle w:val="af6"/>
        <w:rPr>
          <w:rFonts w:ascii="Arial" w:hAnsi="Arial" w:cs="Arial"/>
        </w:rPr>
      </w:pPr>
      <w:r w:rsidRPr="000D3C71">
        <w:rPr>
          <w:rFonts w:ascii="Arial" w:hAnsi="Arial" w:cs="Arial"/>
          <w:lang w:val="en"/>
        </w:rPr>
        <w:t>(IV) Procedures for Creation and Redemption</w:t>
      </w:r>
    </w:p>
    <w:p w14:paraId="6009AF1F" w14:textId="77777777" w:rsidR="00DF1B7F" w:rsidRPr="000D3C71" w:rsidRDefault="00953439" w:rsidP="00503FB4">
      <w:pPr>
        <w:pStyle w:val="af6"/>
        <w:rPr>
          <w:rFonts w:ascii="Arial" w:hAnsi="Arial" w:cs="Arial"/>
        </w:rPr>
      </w:pPr>
      <w:r w:rsidRPr="000D3C71">
        <w:rPr>
          <w:rFonts w:ascii="Arial" w:hAnsi="Arial" w:cs="Arial"/>
          <w:lang w:val="en"/>
        </w:rPr>
        <w:t>1. On-Exchange Creation and Redemption Procedures</w:t>
      </w:r>
    </w:p>
    <w:p w14:paraId="6E901A7D" w14:textId="77777777" w:rsidR="0067653C" w:rsidRPr="000D3C71" w:rsidRDefault="00953439" w:rsidP="00503FB4">
      <w:pPr>
        <w:pStyle w:val="af6"/>
        <w:rPr>
          <w:rFonts w:ascii="Arial" w:hAnsi="Arial" w:cs="Arial"/>
        </w:rPr>
      </w:pPr>
      <w:r w:rsidRPr="000D3C71">
        <w:rPr>
          <w:rFonts w:ascii="Arial" w:hAnsi="Arial" w:cs="Arial"/>
          <w:lang w:val="en"/>
        </w:rPr>
        <w:t>(1) Submitting Applications</w:t>
      </w:r>
    </w:p>
    <w:p w14:paraId="295532A2" w14:textId="77777777" w:rsidR="007167F0" w:rsidRPr="000D3C71" w:rsidRDefault="00953439" w:rsidP="00503FB4">
      <w:pPr>
        <w:pStyle w:val="af6"/>
        <w:rPr>
          <w:rFonts w:ascii="Arial" w:hAnsi="Arial" w:cs="Arial"/>
        </w:rPr>
      </w:pPr>
      <w:r w:rsidRPr="000D3C71">
        <w:rPr>
          <w:rFonts w:ascii="Arial" w:hAnsi="Arial" w:cs="Arial"/>
          <w:lang w:val="en"/>
        </w:rPr>
        <w:t xml:space="preserve">Investors must submit creation or redemption applications during the designated business hours on a dealing day, in accordance with the procedures prescribed by the authorized participant. </w:t>
      </w:r>
    </w:p>
    <w:p w14:paraId="44844931" w14:textId="77777777" w:rsidR="007167F0" w:rsidRPr="000D3C71" w:rsidRDefault="00953439" w:rsidP="00503FB4">
      <w:pPr>
        <w:pStyle w:val="af6"/>
        <w:rPr>
          <w:rFonts w:ascii="Arial" w:hAnsi="Arial" w:cs="Arial"/>
        </w:rPr>
      </w:pPr>
      <w:r w:rsidRPr="000D3C71">
        <w:rPr>
          <w:rFonts w:ascii="Arial" w:hAnsi="Arial" w:cs="Arial"/>
          <w:lang w:val="en"/>
        </w:rPr>
        <w:t>When creating Fund units, investors must prepare sufficient creation consideration based on the corresponding PCF. When submitting a redemption application, investors must have an adequate balance of Fund units and cash.</w:t>
      </w:r>
    </w:p>
    <w:p w14:paraId="21F8BC90" w14:textId="77777777" w:rsidR="007167F0" w:rsidRPr="000D3C71" w:rsidRDefault="00953439" w:rsidP="00503FB4">
      <w:pPr>
        <w:pStyle w:val="af6"/>
        <w:rPr>
          <w:rFonts w:ascii="Arial" w:hAnsi="Arial" w:cs="Arial"/>
        </w:rPr>
      </w:pPr>
      <w:r w:rsidRPr="000D3C71">
        <w:rPr>
          <w:rFonts w:ascii="Arial" w:hAnsi="Arial" w:cs="Arial"/>
          <w:lang w:val="en"/>
        </w:rPr>
        <w:t>(2) Confirming Applications</w:t>
      </w:r>
    </w:p>
    <w:p w14:paraId="5E669908" w14:textId="77777777" w:rsidR="007167F0" w:rsidRPr="000D3C71" w:rsidRDefault="00953439" w:rsidP="00503FB4">
      <w:pPr>
        <w:pStyle w:val="af6"/>
        <w:rPr>
          <w:rFonts w:ascii="Arial" w:hAnsi="Arial" w:cs="Arial"/>
        </w:rPr>
      </w:pPr>
      <w:r w:rsidRPr="000D3C71">
        <w:rPr>
          <w:rFonts w:ascii="Arial" w:hAnsi="Arial" w:cs="Arial"/>
          <w:lang w:val="en"/>
        </w:rPr>
        <w:t xml:space="preserve">Investors’ creation and redemption applications are confirmed on the same day they are accepted. If an investor fails to deliver the required creation consideration, the creation application will be rejected. If an investor does not hold a sufficient balance of eligible Fund units, fails to prepare the required amount of cash, or the Fund’s portfolio lacks sufficient eligible redemption consideration, the redemption application will be rejected.    </w:t>
      </w:r>
    </w:p>
    <w:p w14:paraId="2109B501" w14:textId="77777777" w:rsidR="007167F0" w:rsidRPr="000D3C71" w:rsidRDefault="00953439" w:rsidP="00503FB4">
      <w:pPr>
        <w:pStyle w:val="af6"/>
        <w:rPr>
          <w:rFonts w:ascii="Arial" w:hAnsi="Arial" w:cs="Arial"/>
        </w:rPr>
      </w:pPr>
      <w:r w:rsidRPr="000D3C71">
        <w:rPr>
          <w:rFonts w:ascii="Arial" w:hAnsi="Arial" w:cs="Arial"/>
          <w:lang w:val="en"/>
        </w:rPr>
        <w:t>Fund units created by an investor may be sold on the same day, and securities received upon redemption may likewise be sold on the same day.</w:t>
      </w:r>
    </w:p>
    <w:p w14:paraId="0C71ACD3" w14:textId="77777777" w:rsidR="007167F0" w:rsidRPr="000D3C71" w:rsidRDefault="00953439" w:rsidP="00503FB4">
      <w:pPr>
        <w:pStyle w:val="af6"/>
        <w:rPr>
          <w:rFonts w:ascii="Arial" w:hAnsi="Arial" w:cs="Arial"/>
        </w:rPr>
      </w:pPr>
      <w:r w:rsidRPr="000D3C71">
        <w:rPr>
          <w:rFonts w:ascii="Arial" w:hAnsi="Arial" w:cs="Arial"/>
          <w:lang w:val="en"/>
        </w:rPr>
        <w:t>(3) Clearing, Settlement, and Registration</w:t>
      </w:r>
    </w:p>
    <w:p w14:paraId="7FFFDCBC" w14:textId="77777777" w:rsidR="007167F0" w:rsidRPr="000D3C71" w:rsidRDefault="00953439" w:rsidP="00503FB4">
      <w:pPr>
        <w:pStyle w:val="af6"/>
        <w:rPr>
          <w:rFonts w:ascii="Arial" w:hAnsi="Arial" w:cs="Arial"/>
        </w:rPr>
      </w:pPr>
      <w:r w:rsidRPr="000D3C71">
        <w:rPr>
          <w:rFonts w:ascii="Arial" w:hAnsi="Arial" w:cs="Arial"/>
          <w:lang w:val="en"/>
        </w:rPr>
        <w:t>The clearing and settlement of Fund units, portfolio securities, cash-in-lieu, the cash component, and other consideration involved in the Fund’s creation and redemption process shall be governed by the relevant provisions of the Implementing Rules of the Shanghai Stock Exchange for Exchange-Traded Funds, the Implementation Rules of China Securities Depository and Clearing Corporation Limited on the Registration and Clearing Services for Exchange-Traded Funds, and the relevant agreements among the participating parties.</w:t>
      </w:r>
    </w:p>
    <w:p w14:paraId="15C42072" w14:textId="77777777" w:rsidR="007167F0" w:rsidRPr="000D3C71" w:rsidRDefault="00953439" w:rsidP="00503FB4">
      <w:pPr>
        <w:pStyle w:val="af6"/>
        <w:rPr>
          <w:rFonts w:ascii="Arial" w:hAnsi="Arial" w:cs="Arial"/>
        </w:rPr>
      </w:pPr>
      <w:r w:rsidRPr="000D3C71">
        <w:rPr>
          <w:rFonts w:ascii="Arial" w:hAnsi="Arial" w:cs="Arial"/>
          <w:lang w:val="en"/>
        </w:rPr>
        <w:t>After a successful creation application on T Day, the Registration and Clearing Agency shall, after the close of trading on T Day, effect the settlement of Fund units and the Shanghai Stock Exchange-listed constituent securities, as well as the clearing of the cash-in-lieu, for the investor. On T+1 Day, it shall settle the cash-in-lieu and clear the cash component; on T+2 Day, it shall complete the settlement of cash component and transmit the results to the authorized participant, the Fund Manager, and the Fund Custodian.</w:t>
      </w:r>
    </w:p>
    <w:p w14:paraId="201D6A8A" w14:textId="77777777" w:rsidR="007C1519" w:rsidRPr="000D3C71" w:rsidRDefault="00953439" w:rsidP="00503FB4">
      <w:pPr>
        <w:pStyle w:val="af6"/>
        <w:rPr>
          <w:rFonts w:ascii="Arial" w:hAnsi="Arial" w:cs="Arial"/>
        </w:rPr>
      </w:pPr>
      <w:r w:rsidRPr="000D3C71">
        <w:rPr>
          <w:rFonts w:ascii="Arial" w:hAnsi="Arial" w:cs="Arial"/>
          <w:lang w:val="en"/>
        </w:rPr>
        <w:t>After a successful redemption application on T Day, the Registration and Clearing Agency shall, after the close of trading on T Day, cancel the investor’s Fund units and settle the Shanghai Stock Exchange-listed constituent securities, as well as clear the cash-in-lieu. On T+1 Day, it shall settle the cash-in-lieu and clear cash components; on T+2 Day, it shall complete the settlement of cash components and transmit the results to the authorized participant, the Fund Manager, and the Fund Custodian.</w:t>
      </w:r>
    </w:p>
    <w:p w14:paraId="238D01A8" w14:textId="77777777" w:rsidR="0058308F" w:rsidRPr="000D3C71" w:rsidRDefault="00953439" w:rsidP="00503FB4">
      <w:pPr>
        <w:pStyle w:val="af6"/>
        <w:rPr>
          <w:rFonts w:ascii="Arial" w:hAnsi="Arial" w:cs="Arial"/>
        </w:rPr>
      </w:pPr>
      <w:r w:rsidRPr="000D3C71">
        <w:rPr>
          <w:rFonts w:ascii="Arial" w:hAnsi="Arial" w:cs="Arial"/>
          <w:lang w:val="en"/>
        </w:rPr>
        <w:t>If the Registration and Clearing Agency and the Fund Manager identify any settlement failure during clearing and settlement, the matter shall be addressed in accordance with the aforementioned implementation rules and relevant agreements among the parties.</w:t>
      </w:r>
    </w:p>
    <w:p w14:paraId="7385557B" w14:textId="77777777" w:rsidR="00AE22E3" w:rsidRPr="000D3C71" w:rsidRDefault="00953439" w:rsidP="00503FB4">
      <w:pPr>
        <w:pStyle w:val="af6"/>
        <w:rPr>
          <w:rFonts w:ascii="Arial" w:hAnsi="Arial" w:cs="Arial"/>
        </w:rPr>
      </w:pPr>
      <w:r w:rsidRPr="000D3C71">
        <w:rPr>
          <w:rFonts w:ascii="Arial" w:hAnsi="Arial" w:cs="Arial"/>
          <w:lang w:val="en"/>
        </w:rPr>
        <w:t>The Fund Manager and the Registration and Clearing Agency may, to the extent permitted by laws and regulations, adjust the foregoing creation and redemption procedures, as well as the timing, methods, and processing rules for clearing, settlement, and registration. Such changes shall be announced on at least one Designated Medium no later than three business days before their implementation.</w:t>
      </w:r>
    </w:p>
    <w:p w14:paraId="5D2D4C83" w14:textId="77777777" w:rsidR="00DF1B7F"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2. Off-Exchange In-Kind Creation and Redemption Procedures</w:t>
      </w:r>
    </w:p>
    <w:p w14:paraId="2DDD2F1C" w14:textId="77777777" w:rsidR="00DF1B7F" w:rsidRPr="000D3C71" w:rsidRDefault="00953439" w:rsidP="00503FB4">
      <w:pPr>
        <w:pStyle w:val="af6"/>
        <w:rPr>
          <w:rFonts w:ascii="Arial" w:hAnsi="Arial" w:cs="Arial"/>
        </w:rPr>
      </w:pPr>
      <w:r w:rsidRPr="000D3C71">
        <w:rPr>
          <w:rFonts w:ascii="Arial" w:hAnsi="Arial" w:cs="Arial"/>
          <w:lang w:val="en"/>
        </w:rPr>
        <w:t>Investors must submit creation or redemption applications during the designated business hours on a dealing day, in accordance with the procedures prescribed by the Sales Agency. When creating Fund units, investors must prepare sufficient creation consideration based on the PCF; when redeeming Fund units, they must maintain an adequate balance of Fund units and cash. The confirmation of created or redeemed units shall be subject to the confirmation results of the fund registration agency.</w:t>
      </w:r>
    </w:p>
    <w:p w14:paraId="1964FFC5" w14:textId="77777777" w:rsidR="007167F0" w:rsidRPr="000D3C71" w:rsidRDefault="00953439" w:rsidP="00503FB4">
      <w:pPr>
        <w:pStyle w:val="affd"/>
        <w:spacing w:line="360" w:lineRule="auto"/>
        <w:ind w:firstLineChars="200" w:firstLine="420"/>
        <w:rPr>
          <w:rFonts w:ascii="Arial" w:hAnsi="Arial" w:cs="Arial"/>
        </w:rPr>
      </w:pPr>
      <w:r w:rsidRPr="000D3C71">
        <w:rPr>
          <w:rFonts w:ascii="Arial" w:hAnsi="Arial" w:cs="Arial"/>
          <w:szCs w:val="18"/>
          <w:lang w:val="en"/>
        </w:rPr>
        <w:t>(V) Limits on Creation and Redemption Amounts</w:t>
      </w:r>
    </w:p>
    <w:p w14:paraId="52B4DDB1" w14:textId="77777777" w:rsidR="007167F0" w:rsidRPr="000D3C71" w:rsidRDefault="00953439" w:rsidP="002C372A">
      <w:pPr>
        <w:pStyle w:val="affd"/>
        <w:autoSpaceDE w:val="0"/>
        <w:autoSpaceDN w:val="0"/>
        <w:spacing w:line="360" w:lineRule="auto"/>
        <w:ind w:firstLine="420"/>
        <w:textAlignment w:val="bottom"/>
        <w:rPr>
          <w:rFonts w:ascii="Arial" w:hAnsi="Arial" w:cs="Arial"/>
        </w:rPr>
      </w:pPr>
      <w:r w:rsidRPr="000D3C71">
        <w:rPr>
          <w:rFonts w:ascii="Arial" w:hAnsi="Arial" w:cs="Arial"/>
          <w:lang w:val="en"/>
        </w:rPr>
        <w:t>The number of Fund units created or redeemed by an investor, whether on-exchange or off-exchange, must be an integer multiple of the Fund’s creation unit. Currently, one creation unit equals 900,000 Fund units.</w:t>
      </w:r>
    </w:p>
    <w:p w14:paraId="7FA9A0D2" w14:textId="77777777" w:rsidR="007167F0"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The Fund Manager may adjust the size of the creation unit based on the Fund’s operational status, market conditions, and investor demand, and will announce such adjustment in advance.</w:t>
      </w:r>
    </w:p>
    <w:p w14:paraId="298B8A1B" w14:textId="77777777" w:rsidR="008F4D16"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If the acceptance of new creation applications is expected to have a potential material adverse effect on the interests of existing Fund Unitholders, the Fund Manager shall take appropriate measures, such as setting a maximum creation amount for a single investor, establishing a maximum daily net creation ratio for the Fund, rejecting large creation orders, or suspending creations, to safeguard the lawful rights and interests of existing Fund Unitholders. Details will be set out in the relevant announcements.</w:t>
      </w:r>
    </w:p>
    <w:p w14:paraId="693E0459" w14:textId="77777777" w:rsidR="00776F81" w:rsidRPr="000D3C71" w:rsidRDefault="00953439" w:rsidP="00503FB4">
      <w:pPr>
        <w:pStyle w:val="affd"/>
        <w:spacing w:line="360" w:lineRule="auto"/>
        <w:ind w:firstLineChars="200" w:firstLine="420"/>
        <w:rPr>
          <w:rFonts w:ascii="Arial" w:hAnsi="Arial" w:cs="Arial"/>
        </w:rPr>
      </w:pPr>
      <w:r w:rsidRPr="000D3C71">
        <w:rPr>
          <w:rFonts w:ascii="Arial" w:hAnsi="Arial" w:cs="Arial"/>
          <w:szCs w:val="18"/>
          <w:lang w:val="en"/>
        </w:rPr>
        <w:t>(VI) Consideration, Fees, and Their Use for On-Exchange and Off-Exchange In-Kind Creation and Redemption</w:t>
      </w:r>
    </w:p>
    <w:p w14:paraId="0B39C2AC" w14:textId="77777777" w:rsidR="00776F81"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1. “Creation Consideration” refers to the portfolio securities, cash-in-lieu, cash component, and other consideration that an investor must deliver when creating Fund units. “Redemption consideration” refers to the portfolio securities, cash-in-lieu, cash component, and other consideration that the Fund Manager must deliver when a Fund Unitholder redeems Fund units. The amounts of creation consideration and redemption consideration are determined in accordance with the PCF and the number of Fund units being created or redeemed.</w:t>
      </w:r>
    </w:p>
    <w:p w14:paraId="41EDE905" w14:textId="77777777" w:rsidR="00776F81"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2. When processing on-exchange creations or redemptions of Fund units, the authorized participant may charge a commission not exceeding 0.5%, which includes the relevant fees imposed by the stock exchanges and the Registration and Clearing Agency. Currently, no creation or redemption fees are charged for off-exchange in-kind creations and redemptions.</w:t>
      </w:r>
    </w:p>
    <w:p w14:paraId="5F1148EB" w14:textId="77777777" w:rsidR="00776F81"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3. The NAV per Unit for T Day shall be calculated after the market closes on that day and announced by T+1 Day. The formula is: NAV of the Fund on the valuation day divided by the total number of Fund units on the valuation day. In special circumstances, the calculation or announcement may be appropriately deferred, with a report filed with the CSRC. The PCF for T Day shall be announced before the Shanghai Stock Exchange opens for trading on that day. In the future, if market conditions or relevant business rules change, the Fund Manager may, without violating applicable laws and regulations, adjust the timing of the calculation and announcement of the NAV per Unit and the PCF, and shall announce such adjustments in advance.</w:t>
      </w:r>
    </w:p>
    <w:p w14:paraId="352752FD" w14:textId="77777777" w:rsidR="007C1519" w:rsidRPr="000D3C71" w:rsidRDefault="00953439" w:rsidP="002C372A">
      <w:pPr>
        <w:pStyle w:val="affd"/>
        <w:autoSpaceDE w:val="0"/>
        <w:autoSpaceDN w:val="0"/>
        <w:adjustRightInd w:val="0"/>
        <w:spacing w:line="360" w:lineRule="auto"/>
        <w:ind w:firstLine="420"/>
        <w:rPr>
          <w:rFonts w:ascii="Arial" w:hAnsi="Arial" w:cs="Arial"/>
        </w:rPr>
      </w:pPr>
      <w:r w:rsidRPr="000D3C71">
        <w:rPr>
          <w:rFonts w:ascii="Arial" w:hAnsi="Arial" w:cs="Arial"/>
          <w:lang w:val="en"/>
        </w:rPr>
        <w:t>(VII) Content and Format of the PCF</w:t>
      </w:r>
    </w:p>
    <w:p w14:paraId="40A771CD" w14:textId="77777777" w:rsidR="00EB2F7B" w:rsidRPr="000D3C71" w:rsidRDefault="00953439" w:rsidP="002C372A">
      <w:pPr>
        <w:pStyle w:val="affd"/>
        <w:autoSpaceDE w:val="0"/>
        <w:autoSpaceDN w:val="0"/>
        <w:adjustRightInd w:val="0"/>
        <w:spacing w:line="360" w:lineRule="auto"/>
        <w:ind w:firstLine="420"/>
        <w:rPr>
          <w:rFonts w:ascii="Arial" w:hAnsi="Arial" w:cs="Arial"/>
        </w:rPr>
      </w:pPr>
      <w:r w:rsidRPr="000D3C71">
        <w:rPr>
          <w:rFonts w:ascii="Arial" w:hAnsi="Arial" w:cs="Arial"/>
          <w:szCs w:val="21"/>
          <w:lang w:val="en"/>
        </w:rPr>
        <w:t>The Portfolio Composition File (PCF) applies to the Fund’s on-exchange creation and redemption activities and its off-exchange in-kind creation and redemption activities. The PCF applicable to off-exchange in-kind creation and redemption is based on the PCF announced by the Fund Manager for on-exchange creation and redemption. The difference between them is that for stocks designated as “adjustment cash-in-lieu securities” in the on-exchange PCF, the corresponding designation in the PCF for off-exchange in-kind creation and redemption is “permitted cash-in-lieu securities.”</w:t>
      </w:r>
    </w:p>
    <w:p w14:paraId="72C5A0A8" w14:textId="77777777" w:rsidR="00AE22E3"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1. Content of the PCF</w:t>
      </w:r>
    </w:p>
    <w:p w14:paraId="22B14F69"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The T Day PCF announcement includes data on each constituent security within the portfolio corresponding to a creation unit, cash-in-lieu, the T Day estimated cash component, the T-1 Day cash component, the NAV per Unit, and other relevant information.</w:t>
      </w:r>
    </w:p>
    <w:p w14:paraId="074024B9" w14:textId="77777777" w:rsidR="00AE22E3"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2. Portfolio Securities</w:t>
      </w:r>
    </w:p>
    <w:p w14:paraId="42CD7BD0"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Portfolio securities refer to all or part of the securities included in the Underlying Index of the Fund. The PCF will publish the name, stock code, and quantity of each constituent security corresponding to a creation unit.</w:t>
      </w:r>
    </w:p>
    <w:p w14:paraId="6013B3A7"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3. Cash-in-Lieu</w:t>
      </w:r>
    </w:p>
    <w:p w14:paraId="6EDFE661"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Cash-in-lieu refers to a specified amount of cash that an investor, in accordance with the Fund Contract and this Prospectus, uses to replace certain securities in the portfolio during creation or redemption.</w:t>
      </w:r>
    </w:p>
    <w:p w14:paraId="1E9619D7"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(1) There are four types of cash-in-lieu: cash-in-lieu prohibited (marked as “Prohibited”), cash-in-lieu permitted (marked as “Permitted”), mandatory cash-in-lieu (marked as “Mandatory”), and adjustment cash-in-lieu (marked as “Adjustment”).</w:t>
      </w:r>
    </w:p>
    <w:p w14:paraId="7F6A17A8"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 xml:space="preserve">“Prohibited cash-in-lieu” applies to constituent securities listed on the Shanghai Stock Exchange (SSE) and means that cash may not be used as a substitute for these securities during the creation or redemption of Fund units. </w:t>
      </w:r>
    </w:p>
    <w:p w14:paraId="241A7DF8"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Permitted cash-in-lieu means that cash may be used as a full or partial substitute for these securities during the creation of Fund units, but cash may not be used as a substitute during redemption.</w:t>
      </w:r>
    </w:p>
    <w:p w14:paraId="275F6957"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Mandatory cash-in-lieu applies to all constituent securities and means that a fixed amount of cash must be used as a substitute for these securities during both the creation and redemption of Fund units.</w:t>
      </w:r>
    </w:p>
    <w:p w14:paraId="1258E4B5"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Adjustment cash-in-lieu applies to constituent securities listed on the Shenzhen Stock Exchange (SZSE); it means these securities must be substituted with cash during creation and redemption, with subsequent refunds to or supplemental payments from investors based on the Fund Manager’s execution of the corresponding trades.</w:t>
      </w:r>
    </w:p>
    <w:p w14:paraId="774AACC5"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(2) Permitted Cash-in-Lieu</w:t>
      </w:r>
    </w:p>
    <w:p w14:paraId="06D30A8A" w14:textId="77777777" w:rsidR="00AE22E3" w:rsidRPr="000D3C71" w:rsidRDefault="00953439" w:rsidP="002C372A">
      <w:pPr>
        <w:pStyle w:val="affd"/>
        <w:spacing w:line="360" w:lineRule="auto"/>
        <w:ind w:firstLine="435"/>
        <w:rPr>
          <w:rFonts w:ascii="Arial" w:hAnsi="Arial" w:cs="Arial"/>
        </w:rPr>
      </w:pPr>
      <w:r w:rsidRPr="000D3C71">
        <w:rPr>
          <w:rFonts w:ascii="Cambria Math" w:hAnsi="Cambria Math" w:cs="Cambria Math"/>
          <w:lang w:val="en"/>
        </w:rPr>
        <w:t>①</w:t>
      </w:r>
      <w:r w:rsidRPr="000D3C71">
        <w:rPr>
          <w:rFonts w:ascii="Arial" w:hAnsi="Arial" w:cs="Arial"/>
          <w:lang w:val="en"/>
        </w:rPr>
        <w:t xml:space="preserve"> Applicable Scenarios: Securities designated as “permitted cash-in-lieu” typically include those that investors cannot purchase at the time of creation due to reasons such as a trading suspension.</w:t>
      </w:r>
    </w:p>
    <w:p w14:paraId="6948051B" w14:textId="77777777" w:rsidR="00AE22E3" w:rsidRPr="000D3C71" w:rsidRDefault="00953439" w:rsidP="002C372A">
      <w:pPr>
        <w:pStyle w:val="affd"/>
        <w:spacing w:line="360" w:lineRule="auto"/>
        <w:ind w:firstLine="435"/>
        <w:rPr>
          <w:rFonts w:ascii="Arial" w:hAnsi="Arial" w:cs="Arial"/>
        </w:rPr>
      </w:pPr>
      <w:r w:rsidRPr="000D3C71">
        <w:rPr>
          <w:rFonts w:ascii="Cambria Math" w:hAnsi="Cambria Math" w:cs="Cambria Math"/>
          <w:lang w:val="en"/>
        </w:rPr>
        <w:t>②</w:t>
      </w:r>
      <w:r w:rsidRPr="000D3C71">
        <w:rPr>
          <w:rFonts w:ascii="Arial" w:hAnsi="Arial" w:cs="Arial"/>
          <w:lang w:val="en"/>
        </w:rPr>
        <w:t xml:space="preserve"> Cash-in-lieu amount: For permitted cash-in-lieu securities, the formula for the cash-in-lieu amount is:</w:t>
      </w:r>
    </w:p>
    <w:p w14:paraId="0AF8C6C3"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Cash-in-lieu amount = Quantity of substituted security × Reference price of the security × (1 + cash-in-lieu premium ratio for creation)</w:t>
      </w:r>
    </w:p>
    <w:p w14:paraId="04EDD42D" w14:textId="77777777" w:rsidR="00AE22E3" w:rsidRPr="000D3C71" w:rsidRDefault="00953439" w:rsidP="008C25EF">
      <w:pPr>
        <w:pStyle w:val="affd"/>
        <w:spacing w:line="360" w:lineRule="auto"/>
        <w:ind w:firstLine="435"/>
        <w:rPr>
          <w:rFonts w:ascii="Arial" w:hAnsi="Arial" w:cs="Arial"/>
        </w:rPr>
      </w:pPr>
      <w:r w:rsidRPr="000D3C71">
        <w:rPr>
          <w:rFonts w:ascii="Arial" w:hAnsi="Arial" w:cs="Arial"/>
          <w:lang w:val="en"/>
        </w:rPr>
        <w:t>The “reference price” is currently the security's closing price on the previous trading day, adjusted for ex-rights and ex-dividend events. If the Shanghai Stock Exchange changes its principles for determining the reference price, the reference price stipulated in the SSE's notice shall prevail.</w:t>
      </w:r>
    </w:p>
    <w:p w14:paraId="32F171B4"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The reason a cash-in-lieu premium for creation is charged is that for securities substituted with cash, the Fund Manager must purchase them after trading resumes, and the actual purchase price plus related transaction fees may differ from the reference price used at the time of creation. For operational convenience, the Fund Manager pre-determines the cash-in-lieu premium ratio for creation in the PCF and collects the cash-in-lieu amount accordingly. If the pre-collected amount is higher than the Fund's actual cost of purchasing these securities, the Fund Manager will refund the excess amount; if the pre-collected amount is lower than the actual cost, the Fund Manager will collect the shortfall from the investor.</w:t>
      </w:r>
    </w:p>
    <w:p w14:paraId="73A3D86F" w14:textId="77777777" w:rsidR="00AE22E3" w:rsidRPr="000D3C71" w:rsidRDefault="00953439" w:rsidP="002C372A">
      <w:pPr>
        <w:pStyle w:val="affd"/>
        <w:spacing w:line="360" w:lineRule="auto"/>
        <w:ind w:firstLine="435"/>
        <w:rPr>
          <w:rFonts w:ascii="Arial" w:hAnsi="Arial" w:cs="Arial"/>
        </w:rPr>
      </w:pPr>
      <w:r w:rsidRPr="000D3C71">
        <w:rPr>
          <w:rFonts w:ascii="Cambria Math" w:hAnsi="Cambria Math" w:cs="Cambria Math"/>
          <w:lang w:val="en"/>
        </w:rPr>
        <w:t>③</w:t>
      </w:r>
      <w:r w:rsidRPr="000D3C71">
        <w:rPr>
          <w:rFonts w:ascii="Arial" w:hAnsi="Arial" w:cs="Arial"/>
          <w:lang w:val="en"/>
        </w:rPr>
        <w:t xml:space="preserve"> Handling Procedure</w:t>
      </w:r>
    </w:p>
    <w:p w14:paraId="6FB3168E"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For investors conducting on-exchange creation and redemption, the Fund Manager will announce the cash-in-lieu premium ratio for creation in the PCF on T Day and collect the cash-in-lieu amount accordingly.</w:t>
      </w:r>
    </w:p>
    <w:p w14:paraId="447525B8"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Within two trading days after T Day on which the substituted security trades normally (hereinafter the "T+2 Day"), the Fund Manager will use the collected cash-in-lieu amount to purchase the substituted securities. At the end of T+2 Day, if all substituted securities have been purchased, the difference between the cash-in-lieu amount and the actual cost of the substituted securities (including purchase price and transaction fees) will determine the amount the Fund shall refund to the investor or the investor shall pay to the Fund. If not all substituted securities have been purchased, the difference between the cash-in-lieu amount and the sum of the actual cost of the purchased portion and the value of the unpurchased portion calculated using the T+2 Day closing price will determine the amount to be refunded or paid.</w:t>
      </w:r>
    </w:p>
    <w:p w14:paraId="5D34DF7B"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Special Case: If 20 SSE trading days have passed since T Day but the security has traded normally for fewer than two days, the amount to be refunded or paid will be determined by the difference between the cash-in-lieu amount and the sum of the actual cost of the purchased portion plus the value of the unpurchased portion calculated using its most recent closing price.</w:t>
      </w:r>
    </w:p>
    <w:p w14:paraId="506E5124"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If any corporate actions such as ex-dividend events, bonus issues (or capitalization issues), or rights offerings occur between the cash substitution date (T Day) and T+2 Day (or the 20th trading day in the special case), corresponding adjustments will be made.</w:t>
      </w:r>
    </w:p>
    <w:p w14:paraId="332BBBA7"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On the first business day after T+2 Day (or the 21st trading day in the special case), the Fund Manager will send the detailed and summary data of refunds and supplemental payments to the relevant authorized participants and the Fund Custodian. The clearing and settlement of these funds will be completed within the following three business days.</w:t>
      </w:r>
    </w:p>
    <w:p w14:paraId="2FCACCE3" w14:textId="77777777" w:rsidR="009E3071" w:rsidRPr="000D3C71" w:rsidRDefault="00953439" w:rsidP="002C372A">
      <w:pPr>
        <w:pStyle w:val="affd"/>
        <w:spacing w:line="360" w:lineRule="auto"/>
        <w:ind w:firstLine="435"/>
        <w:rPr>
          <w:rFonts w:ascii="Arial" w:hAnsi="Arial" w:cs="Arial"/>
        </w:rPr>
      </w:pPr>
      <w:r w:rsidRPr="000D3C71">
        <w:rPr>
          <w:rFonts w:ascii="Arial" w:hAnsi="Arial" w:cs="Arial"/>
          <w:lang w:val="en"/>
        </w:rPr>
        <w:t>For investors conducting off-exchange in-kind creation and redemption, the Fund Manager will determine the amount to be refunded or paid based on the difference between the valuation of the substituted security on the creation day and the cash-in-lieu amount.</w:t>
      </w:r>
    </w:p>
    <w:p w14:paraId="1222E46E" w14:textId="77777777" w:rsidR="008939B2" w:rsidRPr="000D3C71" w:rsidRDefault="00953439" w:rsidP="002C372A">
      <w:pPr>
        <w:pStyle w:val="affd"/>
        <w:spacing w:line="360" w:lineRule="auto"/>
        <w:ind w:firstLine="435"/>
        <w:rPr>
          <w:rFonts w:ascii="Arial" w:hAnsi="Arial" w:cs="Arial"/>
        </w:rPr>
      </w:pPr>
      <w:r w:rsidRPr="000D3C71">
        <w:rPr>
          <w:rFonts w:ascii="Cambria Math" w:hAnsi="Cambria Math" w:cs="Cambria Math"/>
          <w:lang w:val="en"/>
        </w:rPr>
        <w:t>④</w:t>
      </w:r>
      <w:r w:rsidRPr="000D3C71">
        <w:rPr>
          <w:rFonts w:ascii="Arial" w:hAnsi="Arial" w:cs="Arial"/>
          <w:lang w:val="en"/>
        </w:rPr>
        <w:t xml:space="preserve"> Substitution Limit: To effectively control the Fund's tracking difference and tracking error, the Fund Manager may stipulate that the total proportion of permitted cash-in-lieu used by an investor may not exceed a certain percentage of the NAV of the created Fund units. The formula for the cash-in-lieu ratio is:</w:t>
      </w:r>
    </w:p>
    <w:tbl>
      <w:tblPr>
        <w:tblStyle w:val="afff8"/>
        <w:tblW w:w="0" w:type="auto"/>
        <w:tblInd w:w="468" w:type="dxa"/>
        <w:tblBorders>
          <w:insideH w:val="single" w:sz="4" w:space="0" w:color="auto"/>
        </w:tblBorders>
        <w:tblLook w:val="0000" w:firstRow="0" w:lastRow="0" w:firstColumn="0" w:lastColumn="0" w:noHBand="0" w:noVBand="0"/>
      </w:tblPr>
      <w:tblGrid>
        <w:gridCol w:w="1911"/>
        <w:gridCol w:w="5051"/>
        <w:gridCol w:w="876"/>
      </w:tblGrid>
      <w:tr w:rsidR="00824725" w:rsidRPr="000D3C71" w14:paraId="32E262A2" w14:textId="77777777" w:rsidTr="00504955">
        <w:trPr>
          <w:cantSplit/>
        </w:trPr>
        <w:tc>
          <w:tcPr>
            <w:tcW w:w="0" w:type="auto"/>
            <w:vMerge w:val="restart"/>
            <w:vAlign w:val="center"/>
          </w:tcPr>
          <w:p w14:paraId="5FA1F9C5" w14:textId="77777777" w:rsidR="008939B2" w:rsidRPr="000D3C71" w:rsidRDefault="00953439" w:rsidP="00504955">
            <w:pPr>
              <w:pStyle w:val="affd"/>
              <w:spacing w:line="360" w:lineRule="auto"/>
              <w:rPr>
                <w:rFonts w:ascii="Arial" w:hAnsi="Arial" w:cs="Arial"/>
              </w:rPr>
            </w:pPr>
            <w:r w:rsidRPr="000D3C71">
              <w:rPr>
                <w:rFonts w:ascii="Arial" w:hAnsi="Arial" w:cs="Arial"/>
                <w:lang w:val="en"/>
              </w:rPr>
              <w:t xml:space="preserve">Cash-in-lieu ratio (%) = </w:t>
            </w:r>
          </w:p>
        </w:tc>
        <w:tc>
          <w:tcPr>
            <w:tcW w:w="0" w:type="auto"/>
            <w:vAlign w:val="center"/>
          </w:tcPr>
          <w:p w14:paraId="63F7E20A" w14:textId="53569641" w:rsidR="008939B2" w:rsidRPr="000D3C71" w:rsidRDefault="00953439" w:rsidP="00504955">
            <w:pPr>
              <w:pStyle w:val="affd"/>
              <w:spacing w:line="360" w:lineRule="auto"/>
              <w:jc w:val="center"/>
              <w:rPr>
                <w:rFonts w:ascii="Arial" w:hAnsi="Arial" w:cs="Arial"/>
              </w:rPr>
            </w:pPr>
            <w:r w:rsidRPr="000D3C71">
              <w:rPr>
                <w:rFonts w:ascii="Arial" w:hAnsi="Arial" w:cs="Arial"/>
                <w:lang w:val="en"/>
              </w:rPr>
              <w:t xml:space="preserve">Σ (Quantity of substituted security ᵢ × Reference price of the security) </w:t>
            </w:r>
          </w:p>
        </w:tc>
        <w:tc>
          <w:tcPr>
            <w:tcW w:w="0" w:type="auto"/>
            <w:vMerge w:val="restart"/>
            <w:vAlign w:val="center"/>
          </w:tcPr>
          <w:p w14:paraId="37A793EB" w14:textId="77777777" w:rsidR="008939B2" w:rsidRPr="000D3C71" w:rsidRDefault="00953439" w:rsidP="00504955">
            <w:pPr>
              <w:pStyle w:val="affd"/>
              <w:spacing w:line="360" w:lineRule="auto"/>
              <w:rPr>
                <w:rFonts w:ascii="Arial" w:hAnsi="Arial" w:cs="Arial"/>
              </w:rPr>
            </w:pPr>
            <w:r w:rsidRPr="000D3C71">
              <w:rPr>
                <w:rFonts w:ascii="Arial" w:hAnsi="Arial" w:cs="Arial"/>
                <w:lang w:val="en"/>
              </w:rPr>
              <w:t>×100%</w:t>
            </w:r>
          </w:p>
        </w:tc>
      </w:tr>
      <w:tr w:rsidR="00824725" w:rsidRPr="000D3C71" w14:paraId="0663E284" w14:textId="77777777" w:rsidTr="00504955">
        <w:trPr>
          <w:cantSplit/>
        </w:trPr>
        <w:tc>
          <w:tcPr>
            <w:tcW w:w="0" w:type="auto"/>
            <w:vMerge/>
            <w:vAlign w:val="center"/>
          </w:tcPr>
          <w:p w14:paraId="31EEA689" w14:textId="77777777" w:rsidR="008939B2" w:rsidRPr="000D3C71" w:rsidRDefault="008939B2" w:rsidP="00504955">
            <w:pPr>
              <w:pStyle w:val="affd"/>
              <w:spacing w:line="360" w:lineRule="auto"/>
              <w:rPr>
                <w:rFonts w:ascii="Arial" w:hAnsi="Arial" w:cs="Arial"/>
              </w:rPr>
            </w:pPr>
          </w:p>
        </w:tc>
        <w:tc>
          <w:tcPr>
            <w:tcW w:w="0" w:type="auto"/>
            <w:vAlign w:val="center"/>
          </w:tcPr>
          <w:p w14:paraId="2B77ACC3" w14:textId="79AF5F70" w:rsidR="008939B2" w:rsidRPr="000D3C71" w:rsidRDefault="00953439" w:rsidP="00504955">
            <w:pPr>
              <w:pStyle w:val="affd"/>
              <w:spacing w:line="360" w:lineRule="auto"/>
              <w:jc w:val="center"/>
              <w:rPr>
                <w:rFonts w:ascii="Arial" w:hAnsi="Arial" w:cs="Arial"/>
              </w:rPr>
            </w:pPr>
            <w:r w:rsidRPr="000D3C71">
              <w:rPr>
                <w:rFonts w:ascii="Arial" w:hAnsi="Arial" w:cs="Arial"/>
                <w:lang w:val="en"/>
              </w:rPr>
              <w:t>Number of created Fund Units × Reference NAV per Unit</w:t>
            </w:r>
          </w:p>
        </w:tc>
        <w:tc>
          <w:tcPr>
            <w:tcW w:w="0" w:type="auto"/>
            <w:vMerge/>
            <w:vAlign w:val="center"/>
          </w:tcPr>
          <w:p w14:paraId="292B8A43" w14:textId="77777777" w:rsidR="008939B2" w:rsidRPr="000D3C71" w:rsidRDefault="008939B2" w:rsidP="00504955">
            <w:pPr>
              <w:pStyle w:val="affd"/>
              <w:spacing w:line="360" w:lineRule="auto"/>
              <w:rPr>
                <w:rFonts w:ascii="Arial" w:hAnsi="Arial" w:cs="Arial"/>
              </w:rPr>
            </w:pPr>
          </w:p>
        </w:tc>
      </w:tr>
    </w:tbl>
    <w:p w14:paraId="40F5A1F1" w14:textId="77777777" w:rsidR="008C25EF" w:rsidRPr="000D3C71" w:rsidRDefault="00953439" w:rsidP="008C25EF">
      <w:pPr>
        <w:pStyle w:val="affd"/>
        <w:spacing w:line="360" w:lineRule="auto"/>
        <w:ind w:firstLine="435"/>
        <w:rPr>
          <w:rFonts w:ascii="Arial" w:hAnsi="Arial" w:cs="Arial"/>
        </w:rPr>
      </w:pPr>
      <w:r w:rsidRPr="000D3C71">
        <w:rPr>
          <w:rFonts w:ascii="Arial" w:hAnsi="Arial" w:cs="Arial"/>
          <w:lang w:val="en"/>
        </w:rPr>
        <w:t xml:space="preserve">The </w:t>
      </w:r>
      <w:proofErr w:type="gramStart"/>
      <w:r w:rsidRPr="000D3C71">
        <w:rPr>
          <w:rFonts w:ascii="Arial" w:hAnsi="Arial" w:cs="Arial"/>
          <w:lang w:val="en"/>
        </w:rPr>
        <w:t>security's</w:t>
      </w:r>
      <w:proofErr w:type="gramEnd"/>
      <w:r w:rsidRPr="000D3C71">
        <w:rPr>
          <w:rFonts w:ascii="Arial" w:hAnsi="Arial" w:cs="Arial"/>
          <w:lang w:val="en"/>
        </w:rPr>
        <w:t xml:space="preserve"> reference price is currently its closing price on the previous trading day, adjusted for ex-rights and ex-dividend events. If the Shanghai Stock Exchange changes its principles for determining the reference price, the reference price stipulated in the SSE's notice shall prevail. The reference NAV per Unit is currently the ETF's closing price on the previous trading day, adjusted for ex-rights and ex-dividend events. If the Shanghai Stock Exchange changes its method for calculating the reference NAV per Unit, the reference NAV per Unit stipulated in the SSE's notice shall prevail.</w:t>
      </w:r>
    </w:p>
    <w:p w14:paraId="2A527909" w14:textId="77777777" w:rsidR="009E3071" w:rsidRPr="000D3C71" w:rsidRDefault="00953439" w:rsidP="008C25EF">
      <w:pPr>
        <w:pStyle w:val="affd"/>
        <w:spacing w:line="360" w:lineRule="auto"/>
        <w:ind w:firstLine="435"/>
        <w:rPr>
          <w:rFonts w:ascii="Arial" w:hAnsi="Arial" w:cs="Arial"/>
        </w:rPr>
      </w:pPr>
      <w:r w:rsidRPr="000D3C71">
        <w:rPr>
          <w:rFonts w:ascii="Arial" w:hAnsi="Arial" w:cs="Arial"/>
          <w:lang w:val="en"/>
        </w:rPr>
        <w:t>No cash-in-lieu ratio cap is currently set for off-exchange in-kind creation and redemption.</w:t>
      </w:r>
    </w:p>
    <w:p w14:paraId="38FA29FC"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(3) Mandatory Cash-in-Lieu</w:t>
      </w:r>
    </w:p>
    <w:p w14:paraId="7029689C" w14:textId="77777777" w:rsidR="00AE22E3" w:rsidRPr="000D3C71" w:rsidRDefault="00953439" w:rsidP="002C372A">
      <w:pPr>
        <w:pStyle w:val="affd"/>
        <w:spacing w:line="360" w:lineRule="auto"/>
        <w:ind w:firstLine="435"/>
        <w:rPr>
          <w:rFonts w:ascii="Arial" w:hAnsi="Arial" w:cs="Arial"/>
        </w:rPr>
      </w:pPr>
      <w:r w:rsidRPr="000D3C71">
        <w:rPr>
          <w:rFonts w:ascii="Cambria Math" w:hAnsi="Cambria Math" w:cs="Cambria Math"/>
          <w:lang w:val="en"/>
        </w:rPr>
        <w:t>①</w:t>
      </w:r>
      <w:r w:rsidRPr="000D3C71">
        <w:rPr>
          <w:rFonts w:ascii="Arial" w:hAnsi="Arial" w:cs="Arial"/>
          <w:lang w:val="en"/>
        </w:rPr>
        <w:t xml:space="preserve"> Applicable scenarios: Mandatory cash-in-lieu securities generally include: constituent securities that need to be removed from the underlying index due to an index adjustment; constituent securities under trading suspension; constituent securities subject to investment restrictions under laws and regulations; or constituent securities for which the Fund Manager deems mandatory cash-in-lieu necessary to protect the interests of Fund Unitholders.</w:t>
      </w:r>
    </w:p>
    <w:p w14:paraId="7F9F0E1F" w14:textId="77777777" w:rsidR="00AE22E3" w:rsidRPr="000D3C71" w:rsidRDefault="00953439" w:rsidP="002C372A">
      <w:pPr>
        <w:pStyle w:val="affd"/>
        <w:spacing w:line="360" w:lineRule="auto"/>
        <w:ind w:firstLine="435"/>
        <w:rPr>
          <w:rFonts w:ascii="Arial" w:hAnsi="Arial" w:cs="Arial"/>
        </w:rPr>
      </w:pPr>
      <w:r w:rsidRPr="000D3C71">
        <w:rPr>
          <w:rFonts w:ascii="Cambria Math" w:hAnsi="Cambria Math" w:cs="Cambria Math"/>
          <w:lang w:val="en"/>
        </w:rPr>
        <w:t>②</w:t>
      </w:r>
      <w:r w:rsidRPr="000D3C71">
        <w:rPr>
          <w:rFonts w:ascii="Arial" w:hAnsi="Arial" w:cs="Arial"/>
          <w:lang w:val="en"/>
        </w:rPr>
        <w:t xml:space="preserve"> Cash-in-lieu amount: For mandatory cash-in-lieu securities, the Fund Manager will announce in the PCF a specific cash amount for substitution, known as the “fixed cash-in-lieu amount.” The fixed cash-in-lieu amount is calculated by multiplying the security’s quantity in the PCF by its adjusted T Day opening reference price.</w:t>
      </w:r>
    </w:p>
    <w:p w14:paraId="13EDB95E"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(4) Adjustment Cash-in-Lieu</w:t>
      </w:r>
    </w:p>
    <w:p w14:paraId="21ED199A" w14:textId="77777777" w:rsidR="00AE22E3" w:rsidRPr="000D3C71" w:rsidRDefault="00953439" w:rsidP="002C372A">
      <w:pPr>
        <w:pStyle w:val="affd"/>
        <w:spacing w:line="360" w:lineRule="auto"/>
        <w:ind w:firstLine="435"/>
        <w:rPr>
          <w:rFonts w:ascii="Arial" w:hAnsi="Arial" w:cs="Arial"/>
        </w:rPr>
      </w:pPr>
      <w:r w:rsidRPr="000D3C71">
        <w:rPr>
          <w:rFonts w:ascii="Cambria Math" w:hAnsi="Cambria Math" w:cs="Cambria Math"/>
          <w:lang w:val="en"/>
        </w:rPr>
        <w:t>①</w:t>
      </w:r>
      <w:r w:rsidRPr="000D3C71">
        <w:rPr>
          <w:rFonts w:ascii="Arial" w:hAnsi="Arial" w:cs="Arial"/>
          <w:lang w:val="en"/>
        </w:rPr>
        <w:t xml:space="preserve"> Applicable Scenarios: At present, adjustment cash-in-lieu securities are applicable only to SZSE-listed stocks within the CSI 300 Index.</w:t>
      </w:r>
    </w:p>
    <w:p w14:paraId="1FFBE33E" w14:textId="77777777" w:rsidR="00AE22E3" w:rsidRPr="000D3C71" w:rsidRDefault="00953439" w:rsidP="002C372A">
      <w:pPr>
        <w:pStyle w:val="affd"/>
        <w:spacing w:line="360" w:lineRule="auto"/>
        <w:ind w:firstLine="435"/>
        <w:rPr>
          <w:rFonts w:ascii="Arial" w:hAnsi="Arial" w:cs="Arial"/>
        </w:rPr>
      </w:pPr>
      <w:r w:rsidRPr="000D3C71">
        <w:rPr>
          <w:rFonts w:ascii="Cambria Math" w:hAnsi="Cambria Math" w:cs="Cambria Math"/>
          <w:lang w:val="en"/>
        </w:rPr>
        <w:t>②</w:t>
      </w:r>
      <w:r w:rsidRPr="000D3C71">
        <w:rPr>
          <w:rFonts w:ascii="Arial" w:hAnsi="Arial" w:cs="Arial"/>
          <w:lang w:val="en"/>
        </w:rPr>
        <w:t xml:space="preserve"> Cash-in-lieu amount: For adjustment cash-in-lieu securities, the formulas are:</w:t>
      </w:r>
    </w:p>
    <w:p w14:paraId="1D498124" w14:textId="77777777" w:rsidR="00C204C3" w:rsidRPr="000D3C71" w:rsidRDefault="00953439" w:rsidP="002C372A">
      <w:pPr>
        <w:pStyle w:val="affd"/>
        <w:spacing w:line="360" w:lineRule="auto"/>
        <w:ind w:firstLine="435"/>
        <w:rPr>
          <w:rFonts w:ascii="Arial" w:hAnsi="Arial" w:cs="Arial"/>
        </w:rPr>
      </w:pPr>
      <w:r w:rsidRPr="000D3C71">
        <w:rPr>
          <w:rFonts w:ascii="Arial" w:hAnsi="Arial" w:cs="Arial"/>
          <w:lang w:val="en"/>
        </w:rPr>
        <w:t>Cash-in-lieu amount for creation = Quantity of substituted security × Adjusted T Day opening reference price of the security × (1 + cash-in-lieu premium ratio for creation)</w:t>
      </w:r>
    </w:p>
    <w:p w14:paraId="27EBFDB9"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Cash-in-lieu amount for redemption = Quantity of substituted security × Adjusted T Day opening reference price of the security × (1 - cash-in-lieu discount ratio for redemption)</w:t>
      </w:r>
    </w:p>
    <w:p w14:paraId="23716C2A" w14:textId="77777777" w:rsidR="00AE22E3" w:rsidRPr="000D3C71" w:rsidRDefault="00953439" w:rsidP="002C372A">
      <w:pPr>
        <w:pStyle w:val="affd"/>
        <w:spacing w:line="360" w:lineRule="auto"/>
        <w:ind w:firstLine="435"/>
        <w:rPr>
          <w:rFonts w:ascii="Arial" w:hAnsi="Arial" w:cs="Arial"/>
        </w:rPr>
      </w:pPr>
      <w:r w:rsidRPr="000D3C71">
        <w:rPr>
          <w:rFonts w:ascii="Cambria Math" w:hAnsi="Cambria Math" w:cs="Cambria Math"/>
          <w:lang w:val="en"/>
        </w:rPr>
        <w:t>③</w:t>
      </w:r>
      <w:r w:rsidRPr="000D3C71">
        <w:rPr>
          <w:rFonts w:ascii="Arial" w:hAnsi="Arial" w:cs="Arial"/>
          <w:lang w:val="en"/>
        </w:rPr>
        <w:t xml:space="preserve"> Handling Procedure</w:t>
      </w:r>
    </w:p>
    <w:p w14:paraId="514F4573"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For adjustment cash-in-lieu during creation, a cash-in-lieu premium is charged because for securities substituted with cash, the Fund Manager will purchase the security, and the actual purchase price plus transaction fees may differ from the security's adjusted T Day opening reference price. For operational convenience, the Fund Manager pre-determines the cash-in-lieu premium ratio for creation in the PCF and collects the cash-in-lieu amount accordingly. If the pre-collected amount is higher than the Fund's actual cost of purchasing the securities, the Fund Manager will refund the excess; if it is lower, the Fund Manager will collect the shortfall from the investor.</w:t>
      </w:r>
    </w:p>
    <w:p w14:paraId="69281D79"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For adjustment cash-in-lieu during redemption, a cash-in-lieu discount is deducted because for securities substituted with cash, the Fund Manager will sell the security, and the actual sale proceeds minus transaction fees may differ from the security's adjusted T Day opening reference price. For operational convenience, the Fund Manager pre-determines the cash-in-lieu discount ratio for redemption in the PCF and pays the cash-in-lieu amount accordingly. If the pre-paid amount is lower than the Fund's actual proceeds from selling the securities, the Fund Manager will refund the difference; if it is higher, the Fund Manager will collect the overpayment from the investor.</w:t>
      </w:r>
    </w:p>
    <w:p w14:paraId="42FF9CD9"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The adjusted T Day opening reference price is primarily determined based on the adjusted opening reference price for the Underlying Index constituent securities provided by China Securities Index Co., Ltd.</w:t>
      </w:r>
    </w:p>
    <w:p w14:paraId="63310E44"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Starting on T Day, upon receiving confirmation of a creation transaction, the Fund Manager will sequentially purchase the substituted securities for creation based on the principles of "time priority" and "real-time submission." Upon receiving confirmation of a redemption transaction, the Fund Manager will sequentially sell the substituted securities for redemption based on the same principles. Any trades not completed on T Day will be completed by the Fund Manager within two trading days after T Day on which the substituted security trades normally (the "T+2 Day").</w:t>
      </w:r>
    </w:p>
    <w:p w14:paraId="6BFD33F2"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The time priority principle means that for transactions in the same direction (creation or redemption), the one confirmed earlier takes precedence over the one confirmed later. The sequence is determined by the transaction confirmation time from the SSE.</w:t>
      </w:r>
    </w:p>
    <w:p w14:paraId="6BBEC4AC"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The real-time submission principle means that during the SZSE's continuous auction session, the Fund Manager will, upon receiving creation/redemption confirmation records from the SSE, submit trading orders for the substituted securities to the SZSE in real time, subject to technical system limitations.</w:t>
      </w:r>
    </w:p>
    <w:p w14:paraId="108BDAC5"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On T Day, the Fund Manager will, according to the time priority principle, sequentially determine the amounts to be refunded to or paid by creation investors. This is done by calculating the difference between the cash-in-lieu amount and the sequential actual purchase cost (including purchase price and transaction fees) of the substituted securities, following the creation time sequence. Similarly, the Fund Manager will sequentially determine the amounts to be refunded to or paid by redemption investors by calculating the difference between the cash-in-lieu amount and the sequential actual sale proceeds (sale price minus transaction fees) of the substituted securities, following the redemption time sequence.</w:t>
      </w:r>
    </w:p>
    <w:p w14:paraId="60547AC7"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For substituted securities that were not purchased or sold on T Day due to trading suspension, insufficient liquidity, or other reasons, the Fund Manager may continue to buy and sell them after T Day and will determine the amounts to be refunded or paid according to the aforementioned principles.</w:t>
      </w:r>
    </w:p>
    <w:p w14:paraId="23F6FB83"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At the end of T+2 Day, if all substituted securities for creation have been purchased, the amount to be refunded to or paid by creation investors is determined by the difference between the cash-in-lieu amount and the actual purchase cost (including purchase price and transaction fees). If not all have been purchased, the amount is determined by the difference between the cash-in-lieu amount and the sum of the actual purchase cost of the purchased portion plus the value of the unpurchased portion calculated using the T+2 Day closing price.</w:t>
      </w:r>
    </w:p>
    <w:p w14:paraId="551B948D"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At the end of T+2 Day, if all substituted securities for redemption have been sold, the amount to be refunded to or paid by redemption investors is determined by the difference between the cash-in-lieu amount and the actual sale proceeds (sale price minus transaction fees). If not all have been sold, the amount is determined by the difference between the cash-in-lieu amount and the sum of the actual sale proceeds of the sold portion plus the value of the unsold portion calculated using the T+2 Day closing price.</w:t>
      </w:r>
    </w:p>
    <w:p w14:paraId="1E1EB566"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Special Case: If 20 SZSE trading days have passed since T Day but the security has traded normally for fewer than two days, the amounts to be refunded or paid for creation and redemption will be determined using the security's most recent closing price to value the unpurchased or unsold portions, respectively, in the calculations described above.</w:t>
      </w:r>
    </w:p>
    <w:p w14:paraId="1B21CB2C"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If any corporate actions such as ex-dividend events, bonus issues (or capitalization issues), or rights offerings occur between the cash substitution date (T Day) and T+2 Day, corresponding adjustments will be made.</w:t>
      </w:r>
    </w:p>
    <w:p w14:paraId="7A7C048A"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On the first business day after T+2 Day, the Fund Manager will send the detailed and summary data of refunds and supplemental payments to the relevant authorized participants and the Fund Custodian. The clearing and settlement of these funds will be completed within the following three business days.</w:t>
      </w:r>
    </w:p>
    <w:p w14:paraId="02C70CC3"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4. Estimated Cash Component</w:t>
      </w:r>
    </w:p>
    <w:p w14:paraId="2941343D"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The estimated cash component is a cash amount calculated by the Fund Manager to facilitate the calculation of the IOPV and to allow authorized participants to pre-freeze the necessary funds for creation and redemption applications.</w:t>
      </w:r>
    </w:p>
    <w:p w14:paraId="457DBFC2"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The T Day estimated cash component is announced in the T Day PCF. The formula is:</w:t>
      </w:r>
    </w:p>
    <w:p w14:paraId="04325DC8"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T Day estimated cash component = T-1 Day NAV of a creation unit – (Fixed cash-in-lieu amount for mandatory cash-in-lieu securities + Σ(Quantity of each adjustment cash-in-lieu security × Its adjusted T Day opening reference price) + Σ(Quantity of each permitted cash-in-lieu security × Its adjusted T Day opening reference price) + Σ(Quantity of each in-kind security × Its adjusted T Day opening reference price))</w:t>
      </w:r>
    </w:p>
    <w:p w14:paraId="1B446F24"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The security's adjusted T Day opening reference price is primarily determined based on the adjusted opening reference price for the Underlying Index constituent securities provided by China Securities Index Co., Ltd. Additionally, if T Day is the Fund's ex-dividend date, the corresponding distribution amount must be deducted from the "T-1 Day NAV of a creation unit" in the formula. The estimated cash component can be positive, negative, or zero.</w:t>
      </w:r>
    </w:p>
    <w:p w14:paraId="2B68755F"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5. Cash Component</w:t>
      </w:r>
    </w:p>
    <w:p w14:paraId="616B8750"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The T Day cash component is announced in the PCF on T+1 Day. Its formula is:</w:t>
      </w:r>
    </w:p>
    <w:p w14:paraId="7533050A"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T Day cash component = T Day NAV of a creation unit – (Fixed cash-in-lieu amount for mandatory cash-in-lieu securities + Σ(Quantity of each adjustment cash-in-lieu security × Its T Day closing price) + Σ(Quantity of each permitted cash-in-lieu security × Its T Day closing price) + Σ(Quantity of each in-kind security × Its T Day closing price))</w:t>
      </w:r>
    </w:p>
    <w:p w14:paraId="41554FF0"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For creations and redemptions on T Day, the clearing and settlement of funds will be based on the T Day cash component, which is announced on T+1 Day.</w:t>
      </w:r>
    </w:p>
    <w:p w14:paraId="00E8750C" w14:textId="77777777" w:rsidR="00AE22E3" w:rsidRPr="000D3C71" w:rsidRDefault="00953439" w:rsidP="002C372A">
      <w:pPr>
        <w:pStyle w:val="affd"/>
        <w:spacing w:line="360" w:lineRule="auto"/>
        <w:ind w:firstLine="435"/>
        <w:rPr>
          <w:rFonts w:ascii="Arial" w:hAnsi="Arial" w:cs="Arial"/>
        </w:rPr>
      </w:pPr>
      <w:r w:rsidRPr="000D3C71">
        <w:rPr>
          <w:rFonts w:ascii="Arial" w:hAnsi="Arial" w:cs="Arial"/>
          <w:lang w:val="en"/>
        </w:rPr>
        <w:t>The cash component can be positive, negative, or zero. For creation, if the cash component is positive, the investor must pay the corresponding cash amount; if it is negative, the investor will receive the corresponding cash amount. For redemption, if the cash component is positive, the investor will receive the corresponding cash amount; if it is negative, the investor must pay the corresponding cash amount.</w:t>
      </w:r>
    </w:p>
    <w:p w14:paraId="70DEEC14" w14:textId="77777777" w:rsidR="00187B0D" w:rsidRPr="000D3C71" w:rsidRDefault="00953439" w:rsidP="002C372A">
      <w:pPr>
        <w:pStyle w:val="affd"/>
        <w:spacing w:line="360" w:lineRule="auto"/>
        <w:ind w:firstLine="435"/>
        <w:rPr>
          <w:rFonts w:ascii="Arial" w:hAnsi="Arial" w:cs="Arial"/>
          <w:szCs w:val="21"/>
        </w:rPr>
      </w:pPr>
      <w:r w:rsidRPr="000D3C71">
        <w:rPr>
          <w:rFonts w:ascii="Arial" w:hAnsi="Arial" w:cs="Arial"/>
          <w:lang w:val="en"/>
        </w:rPr>
        <w:t>6. Format of the PCF</w:t>
      </w:r>
    </w:p>
    <w:p w14:paraId="3313A73D" w14:textId="77777777" w:rsidR="00A045C1" w:rsidRPr="000D3C71" w:rsidRDefault="00953439" w:rsidP="00A045C1">
      <w:pPr>
        <w:pStyle w:val="affd"/>
        <w:spacing w:line="360" w:lineRule="auto"/>
        <w:ind w:firstLine="435"/>
        <w:rPr>
          <w:rFonts w:ascii="Arial" w:hAnsi="Arial" w:cs="Arial"/>
        </w:rPr>
      </w:pPr>
      <w:r w:rsidRPr="000D3C71">
        <w:rPr>
          <w:rFonts w:ascii="Arial" w:hAnsi="Arial" w:cs="Arial"/>
          <w:lang w:val="en"/>
        </w:rPr>
        <w:t>The following is an example of the PCF format:</w:t>
      </w:r>
    </w:p>
    <w:p w14:paraId="1403AACD" w14:textId="77777777" w:rsidR="00A045C1" w:rsidRPr="000D3C71" w:rsidRDefault="00953439" w:rsidP="00A045C1">
      <w:pPr>
        <w:pStyle w:val="affd"/>
        <w:ind w:firstLine="435"/>
        <w:rPr>
          <w:rFonts w:ascii="Arial" w:hAnsi="Arial" w:cs="Arial"/>
          <w:szCs w:val="21"/>
        </w:rPr>
      </w:pPr>
      <w:r w:rsidRPr="000D3C71">
        <w:rPr>
          <w:rFonts w:ascii="Arial" w:hAnsi="Arial" w:cs="Arial"/>
          <w:szCs w:val="21"/>
          <w:lang w:val="en"/>
        </w:rPr>
        <w:t>Basic Information</w:t>
      </w:r>
    </w:p>
    <w:tbl>
      <w:tblPr>
        <w:tblStyle w:val="afff8"/>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4503"/>
      </w:tblGrid>
      <w:tr w:rsidR="00824725" w:rsidRPr="000D3C71" w14:paraId="306F0D8B" w14:textId="77777777" w:rsidTr="00C34FB9">
        <w:tc>
          <w:tcPr>
            <w:tcW w:w="3686" w:type="dxa"/>
            <w:vAlign w:val="center"/>
          </w:tcPr>
          <w:p w14:paraId="6BBC3391" w14:textId="77777777" w:rsidR="00A045C1" w:rsidRPr="000D3C71" w:rsidRDefault="00953439" w:rsidP="0003151F">
            <w:pPr>
              <w:pStyle w:val="affd"/>
              <w:rPr>
                <w:rFonts w:ascii="Arial" w:hAnsi="Arial" w:cs="Arial"/>
                <w:szCs w:val="21"/>
              </w:rPr>
            </w:pPr>
            <w:r w:rsidRPr="000D3C71">
              <w:rPr>
                <w:rFonts w:ascii="Arial" w:hAnsi="Arial" w:cs="Arial"/>
                <w:szCs w:val="21"/>
                <w:lang w:val="en"/>
              </w:rPr>
              <w:t>Latest Announcement Date</w:t>
            </w:r>
          </w:p>
        </w:tc>
        <w:tc>
          <w:tcPr>
            <w:tcW w:w="4504" w:type="dxa"/>
            <w:vAlign w:val="center"/>
          </w:tcPr>
          <w:p w14:paraId="2E132B40" w14:textId="77777777" w:rsidR="00A045C1" w:rsidRPr="000D3C71" w:rsidRDefault="00953439" w:rsidP="00504955">
            <w:pPr>
              <w:pStyle w:val="affd"/>
              <w:jc w:val="right"/>
              <w:rPr>
                <w:rFonts w:ascii="Arial" w:hAnsi="Arial" w:cs="Arial"/>
                <w:szCs w:val="21"/>
              </w:rPr>
            </w:pPr>
            <w:r w:rsidRPr="000D3C71">
              <w:rPr>
                <w:rStyle w:val="apple-style-span"/>
                <w:rFonts w:ascii="Arial" w:hAnsi="Arial" w:cs="Arial"/>
                <w:szCs w:val="21"/>
                <w:lang w:val="en"/>
              </w:rPr>
              <w:t>20**-*-*</w:t>
            </w:r>
          </w:p>
        </w:tc>
      </w:tr>
      <w:tr w:rsidR="00824725" w:rsidRPr="000D3C71" w14:paraId="73BCDD27" w14:textId="77777777" w:rsidTr="00C34FB9">
        <w:tc>
          <w:tcPr>
            <w:tcW w:w="3686" w:type="dxa"/>
            <w:vAlign w:val="center"/>
          </w:tcPr>
          <w:p w14:paraId="2F67586D" w14:textId="77777777" w:rsidR="00A045C1" w:rsidRPr="000D3C71" w:rsidRDefault="00953439" w:rsidP="0003151F">
            <w:pPr>
              <w:pStyle w:val="affd"/>
              <w:rPr>
                <w:rFonts w:ascii="Arial" w:hAnsi="Arial" w:cs="Arial"/>
                <w:szCs w:val="21"/>
              </w:rPr>
            </w:pPr>
            <w:r w:rsidRPr="000D3C71">
              <w:rPr>
                <w:rFonts w:ascii="Arial" w:hAnsi="Arial" w:cs="Arial"/>
                <w:szCs w:val="21"/>
                <w:lang w:val="en"/>
              </w:rPr>
              <w:t>Fund Name</w:t>
            </w:r>
          </w:p>
        </w:tc>
        <w:tc>
          <w:tcPr>
            <w:tcW w:w="4504" w:type="dxa"/>
            <w:vAlign w:val="center"/>
          </w:tcPr>
          <w:p w14:paraId="2AB819A7" w14:textId="77777777" w:rsidR="00A045C1" w:rsidRPr="000D3C71" w:rsidRDefault="00953439" w:rsidP="00504955">
            <w:pPr>
              <w:pStyle w:val="affd"/>
              <w:jc w:val="right"/>
              <w:rPr>
                <w:rFonts w:ascii="Arial" w:hAnsi="Arial" w:cs="Arial"/>
                <w:szCs w:val="21"/>
              </w:rPr>
            </w:pPr>
            <w:r w:rsidRPr="000D3C71">
              <w:rPr>
                <w:rFonts w:ascii="Arial" w:hAnsi="Arial" w:cs="Arial"/>
                <w:lang w:val="en"/>
              </w:rPr>
              <w:t>ChinaAMC CSI 300 Exchange Traded Fund</w:t>
            </w:r>
          </w:p>
        </w:tc>
      </w:tr>
      <w:tr w:rsidR="00824725" w:rsidRPr="000D3C71" w14:paraId="7AF2A51C" w14:textId="77777777" w:rsidTr="00C34FB9">
        <w:tc>
          <w:tcPr>
            <w:tcW w:w="3686" w:type="dxa"/>
            <w:vAlign w:val="center"/>
          </w:tcPr>
          <w:p w14:paraId="2F7D17EE" w14:textId="77777777" w:rsidR="00A045C1" w:rsidRPr="000D3C71" w:rsidRDefault="00953439" w:rsidP="0003151F">
            <w:pPr>
              <w:pStyle w:val="affd"/>
              <w:rPr>
                <w:rFonts w:ascii="Arial" w:hAnsi="Arial" w:cs="Arial"/>
                <w:szCs w:val="21"/>
              </w:rPr>
            </w:pPr>
            <w:r w:rsidRPr="000D3C71">
              <w:rPr>
                <w:rFonts w:ascii="Arial" w:hAnsi="Arial" w:cs="Arial"/>
                <w:szCs w:val="21"/>
                <w:lang w:val="en"/>
              </w:rPr>
              <w:t>Fund Manager Name</w:t>
            </w:r>
          </w:p>
        </w:tc>
        <w:tc>
          <w:tcPr>
            <w:tcW w:w="4504" w:type="dxa"/>
            <w:vAlign w:val="center"/>
          </w:tcPr>
          <w:p w14:paraId="6D0BDB8D" w14:textId="77777777" w:rsidR="00A045C1" w:rsidRPr="000D3C71" w:rsidRDefault="00953439" w:rsidP="00504955">
            <w:pPr>
              <w:pStyle w:val="affd"/>
              <w:jc w:val="right"/>
              <w:rPr>
                <w:rFonts w:ascii="Arial" w:hAnsi="Arial" w:cs="Arial"/>
                <w:szCs w:val="21"/>
              </w:rPr>
            </w:pPr>
            <w:r w:rsidRPr="000D3C71">
              <w:rPr>
                <w:rFonts w:ascii="Arial" w:hAnsi="Arial" w:cs="Arial"/>
                <w:szCs w:val="21"/>
                <w:lang w:val="en"/>
              </w:rPr>
              <w:t>China Asset Management Co., Ltd.</w:t>
            </w:r>
          </w:p>
        </w:tc>
      </w:tr>
      <w:tr w:rsidR="00824725" w:rsidRPr="000D3C71" w14:paraId="6A9666FB" w14:textId="77777777" w:rsidTr="00C34FB9">
        <w:tc>
          <w:tcPr>
            <w:tcW w:w="3686" w:type="dxa"/>
            <w:vAlign w:val="center"/>
          </w:tcPr>
          <w:p w14:paraId="49B50ACC" w14:textId="77777777" w:rsidR="00A045C1" w:rsidRPr="000D3C71" w:rsidRDefault="00953439" w:rsidP="0003151F">
            <w:pPr>
              <w:pStyle w:val="affd"/>
              <w:rPr>
                <w:rFonts w:ascii="Arial" w:hAnsi="Arial" w:cs="Arial"/>
                <w:szCs w:val="21"/>
              </w:rPr>
            </w:pPr>
            <w:r w:rsidRPr="000D3C71">
              <w:rPr>
                <w:rFonts w:ascii="Arial" w:hAnsi="Arial" w:cs="Arial"/>
                <w:szCs w:val="21"/>
                <w:lang w:val="en"/>
              </w:rPr>
              <w:t>Primary Market Fund Code</w:t>
            </w:r>
          </w:p>
        </w:tc>
        <w:tc>
          <w:tcPr>
            <w:tcW w:w="4504" w:type="dxa"/>
            <w:vAlign w:val="center"/>
          </w:tcPr>
          <w:p w14:paraId="416C160A" w14:textId="77777777" w:rsidR="00A045C1" w:rsidRPr="000D3C71" w:rsidRDefault="00953439" w:rsidP="00504955">
            <w:pPr>
              <w:pStyle w:val="affd"/>
              <w:jc w:val="right"/>
              <w:rPr>
                <w:rFonts w:ascii="Arial" w:hAnsi="Arial" w:cs="Arial"/>
                <w:szCs w:val="21"/>
              </w:rPr>
            </w:pPr>
            <w:r w:rsidRPr="000D3C71">
              <w:rPr>
                <w:rFonts w:ascii="Arial" w:hAnsi="Arial" w:cs="Arial"/>
                <w:szCs w:val="21"/>
                <w:lang w:val="en"/>
              </w:rPr>
              <w:t>510330</w:t>
            </w:r>
          </w:p>
        </w:tc>
      </w:tr>
    </w:tbl>
    <w:p w14:paraId="26F993DC" w14:textId="77777777" w:rsidR="00A045C1" w:rsidRPr="000D3C71" w:rsidRDefault="00953439" w:rsidP="00A045C1">
      <w:pPr>
        <w:pStyle w:val="TOC1"/>
        <w:spacing w:before="312" w:line="240" w:lineRule="auto"/>
        <w:rPr>
          <w:rFonts w:ascii="Arial" w:hAnsi="Arial" w:cs="Arial"/>
          <w:szCs w:val="21"/>
        </w:rPr>
      </w:pPr>
      <w:r w:rsidRPr="000D3C71">
        <w:rPr>
          <w:rFonts w:ascii="Arial" w:hAnsi="Arial" w:cs="Arial"/>
          <w:szCs w:val="21"/>
          <w:lang w:val="en"/>
        </w:rPr>
        <w:t>T-1 Day Information</w:t>
      </w:r>
    </w:p>
    <w:tbl>
      <w:tblPr>
        <w:tblStyle w:val="afff8"/>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4220"/>
      </w:tblGrid>
      <w:tr w:rsidR="00824725" w:rsidRPr="000D3C71" w14:paraId="01F18CDF" w14:textId="77777777" w:rsidTr="003A035E">
        <w:tc>
          <w:tcPr>
            <w:tcW w:w="3968" w:type="dxa"/>
          </w:tcPr>
          <w:p w14:paraId="4FAA2F3F" w14:textId="77777777" w:rsidR="00A045C1" w:rsidRPr="000D3C71" w:rsidRDefault="00953439" w:rsidP="0003151F">
            <w:pPr>
              <w:pStyle w:val="affd"/>
              <w:rPr>
                <w:rFonts w:ascii="Arial" w:hAnsi="Arial" w:cs="Arial"/>
                <w:szCs w:val="21"/>
              </w:rPr>
            </w:pPr>
            <w:r w:rsidRPr="000D3C71">
              <w:rPr>
                <w:rFonts w:ascii="Arial" w:hAnsi="Arial" w:cs="Arial"/>
                <w:szCs w:val="21"/>
                <w:lang w:val="en"/>
              </w:rPr>
              <w:t>Cash Component (RMB)</w:t>
            </w:r>
          </w:p>
        </w:tc>
        <w:tc>
          <w:tcPr>
            <w:tcW w:w="4220" w:type="dxa"/>
          </w:tcPr>
          <w:p w14:paraId="4EE352EF" w14:textId="77777777" w:rsidR="00A045C1" w:rsidRPr="000D3C71" w:rsidRDefault="00953439" w:rsidP="00504955">
            <w:pPr>
              <w:pStyle w:val="affd"/>
              <w:jc w:val="right"/>
              <w:rPr>
                <w:rFonts w:ascii="Arial" w:hAnsi="Arial" w:cs="Arial"/>
                <w:szCs w:val="21"/>
              </w:rPr>
            </w:pPr>
            <w:r w:rsidRPr="000D3C71">
              <w:rPr>
                <w:rFonts w:ascii="Arial" w:hAnsi="Arial" w:cs="Arial"/>
                <w:szCs w:val="21"/>
                <w:lang w:val="en"/>
              </w:rPr>
              <w:t>X</w:t>
            </w:r>
          </w:p>
        </w:tc>
      </w:tr>
      <w:tr w:rsidR="00824725" w:rsidRPr="000D3C71" w14:paraId="4C709B6B" w14:textId="77777777" w:rsidTr="003A035E">
        <w:tc>
          <w:tcPr>
            <w:tcW w:w="3968" w:type="dxa"/>
          </w:tcPr>
          <w:p w14:paraId="2AB5E5A9" w14:textId="77777777" w:rsidR="003A035E" w:rsidRPr="000D3C71" w:rsidRDefault="00953439" w:rsidP="003A035E">
            <w:pPr>
              <w:pStyle w:val="affd"/>
              <w:rPr>
                <w:rFonts w:ascii="Arial" w:hAnsi="Arial" w:cs="Arial"/>
                <w:szCs w:val="21"/>
              </w:rPr>
            </w:pPr>
            <w:r w:rsidRPr="000D3C71">
              <w:rPr>
                <w:rFonts w:ascii="Arial" w:hAnsi="Arial" w:cs="Arial"/>
                <w:szCs w:val="21"/>
                <w:lang w:val="en"/>
              </w:rPr>
              <w:t>NAV per Creation Unit (RMB)</w:t>
            </w:r>
          </w:p>
        </w:tc>
        <w:tc>
          <w:tcPr>
            <w:tcW w:w="4220" w:type="dxa"/>
          </w:tcPr>
          <w:p w14:paraId="1F38430A" w14:textId="77777777" w:rsidR="003A035E" w:rsidRPr="000D3C71" w:rsidRDefault="00953439" w:rsidP="003A035E">
            <w:pPr>
              <w:pStyle w:val="affd"/>
              <w:jc w:val="right"/>
              <w:rPr>
                <w:rFonts w:ascii="Arial" w:hAnsi="Arial" w:cs="Arial"/>
                <w:szCs w:val="21"/>
              </w:rPr>
            </w:pPr>
            <w:r w:rsidRPr="000D3C71">
              <w:rPr>
                <w:rFonts w:ascii="Arial" w:hAnsi="Arial" w:cs="Arial"/>
                <w:szCs w:val="21"/>
                <w:lang w:val="en"/>
              </w:rPr>
              <w:t>X</w:t>
            </w:r>
          </w:p>
        </w:tc>
      </w:tr>
      <w:tr w:rsidR="00824725" w:rsidRPr="000D3C71" w14:paraId="5F362CFC" w14:textId="77777777" w:rsidTr="003A035E">
        <w:tc>
          <w:tcPr>
            <w:tcW w:w="3968" w:type="dxa"/>
          </w:tcPr>
          <w:p w14:paraId="170727F9" w14:textId="77777777" w:rsidR="003A035E" w:rsidRPr="000D3C71" w:rsidRDefault="00953439" w:rsidP="003A035E">
            <w:pPr>
              <w:pStyle w:val="affd"/>
              <w:rPr>
                <w:rFonts w:ascii="Arial" w:hAnsi="Arial" w:cs="Arial"/>
                <w:szCs w:val="21"/>
              </w:rPr>
            </w:pPr>
            <w:r w:rsidRPr="000D3C71">
              <w:rPr>
                <w:rFonts w:ascii="Arial" w:hAnsi="Arial" w:cs="Arial"/>
                <w:szCs w:val="21"/>
                <w:lang w:val="en"/>
              </w:rPr>
              <w:t>NAV per Unit (RMB)</w:t>
            </w:r>
          </w:p>
        </w:tc>
        <w:tc>
          <w:tcPr>
            <w:tcW w:w="4220" w:type="dxa"/>
          </w:tcPr>
          <w:p w14:paraId="0895359B" w14:textId="77777777" w:rsidR="003A035E" w:rsidRPr="000D3C71" w:rsidRDefault="00953439" w:rsidP="003A035E">
            <w:pPr>
              <w:pStyle w:val="affd"/>
              <w:jc w:val="right"/>
              <w:rPr>
                <w:rFonts w:ascii="Arial" w:hAnsi="Arial" w:cs="Arial"/>
                <w:szCs w:val="21"/>
              </w:rPr>
            </w:pPr>
            <w:r w:rsidRPr="000D3C71">
              <w:rPr>
                <w:rFonts w:ascii="Arial" w:hAnsi="Arial" w:cs="Arial"/>
                <w:szCs w:val="21"/>
                <w:lang w:val="en"/>
              </w:rPr>
              <w:t>X</w:t>
            </w:r>
          </w:p>
        </w:tc>
      </w:tr>
    </w:tbl>
    <w:p w14:paraId="3C68A9CC" w14:textId="77777777" w:rsidR="00A045C1" w:rsidRPr="000D3C71" w:rsidRDefault="00953439" w:rsidP="00A045C1">
      <w:pPr>
        <w:pStyle w:val="TOC1"/>
        <w:spacing w:before="312" w:line="240" w:lineRule="auto"/>
        <w:rPr>
          <w:rFonts w:ascii="Arial" w:hAnsi="Arial" w:cs="Arial"/>
          <w:szCs w:val="21"/>
        </w:rPr>
      </w:pPr>
      <w:r w:rsidRPr="000D3C71">
        <w:rPr>
          <w:rFonts w:ascii="Arial" w:hAnsi="Arial" w:cs="Arial"/>
          <w:szCs w:val="21"/>
          <w:lang w:val="en"/>
        </w:rPr>
        <w:t>T Day Information</w:t>
      </w:r>
    </w:p>
    <w:tbl>
      <w:tblPr>
        <w:tblStyle w:val="afff8"/>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4220"/>
      </w:tblGrid>
      <w:tr w:rsidR="00824725" w:rsidRPr="000D3C71" w14:paraId="1EEF2EF1" w14:textId="77777777" w:rsidTr="00504955">
        <w:tc>
          <w:tcPr>
            <w:tcW w:w="3969" w:type="dxa"/>
          </w:tcPr>
          <w:p w14:paraId="1646C051" w14:textId="77777777" w:rsidR="00A045C1" w:rsidRPr="000D3C71" w:rsidRDefault="00953439" w:rsidP="0003151F">
            <w:pPr>
              <w:pStyle w:val="affd"/>
              <w:rPr>
                <w:rFonts w:ascii="Arial" w:hAnsi="Arial" w:cs="Arial"/>
                <w:szCs w:val="21"/>
              </w:rPr>
            </w:pPr>
            <w:r w:rsidRPr="000D3C71">
              <w:rPr>
                <w:rFonts w:ascii="Arial" w:hAnsi="Arial" w:cs="Arial"/>
                <w:szCs w:val="21"/>
                <w:lang w:val="en"/>
              </w:rPr>
              <w:t>Estimated Cash Component (RMB)</w:t>
            </w:r>
          </w:p>
        </w:tc>
        <w:tc>
          <w:tcPr>
            <w:tcW w:w="4221" w:type="dxa"/>
          </w:tcPr>
          <w:p w14:paraId="334CA8A9" w14:textId="77777777" w:rsidR="00A045C1" w:rsidRPr="000D3C71" w:rsidRDefault="00953439" w:rsidP="00504955">
            <w:pPr>
              <w:pStyle w:val="affd"/>
              <w:jc w:val="right"/>
              <w:rPr>
                <w:rFonts w:ascii="Arial" w:hAnsi="Arial" w:cs="Arial"/>
                <w:szCs w:val="21"/>
              </w:rPr>
            </w:pPr>
            <w:r w:rsidRPr="000D3C71">
              <w:rPr>
                <w:rFonts w:ascii="Arial" w:hAnsi="Arial" w:cs="Arial"/>
                <w:szCs w:val="21"/>
                <w:lang w:val="en"/>
              </w:rPr>
              <w:t>X</w:t>
            </w:r>
          </w:p>
        </w:tc>
      </w:tr>
      <w:tr w:rsidR="00824725" w:rsidRPr="000D3C71" w14:paraId="6DD9D4BD" w14:textId="77777777" w:rsidTr="00504955">
        <w:tc>
          <w:tcPr>
            <w:tcW w:w="3969" w:type="dxa"/>
          </w:tcPr>
          <w:p w14:paraId="58E89B55" w14:textId="77777777" w:rsidR="00A045C1" w:rsidRPr="000D3C71" w:rsidRDefault="00953439" w:rsidP="0003151F">
            <w:pPr>
              <w:pStyle w:val="affd"/>
              <w:rPr>
                <w:rFonts w:ascii="Arial" w:hAnsi="Arial" w:cs="Arial"/>
                <w:szCs w:val="21"/>
              </w:rPr>
            </w:pPr>
            <w:r w:rsidRPr="000D3C71">
              <w:rPr>
                <w:rFonts w:ascii="Arial" w:hAnsi="Arial" w:cs="Arial"/>
                <w:szCs w:val="21"/>
                <w:lang w:val="en"/>
              </w:rPr>
              <w:t>Cash-in-lieu ratio cap</w:t>
            </w:r>
          </w:p>
        </w:tc>
        <w:tc>
          <w:tcPr>
            <w:tcW w:w="4221" w:type="dxa"/>
          </w:tcPr>
          <w:p w14:paraId="6E9BE62A" w14:textId="77777777" w:rsidR="00A045C1" w:rsidRPr="000D3C71" w:rsidRDefault="00953439" w:rsidP="00504955">
            <w:pPr>
              <w:pStyle w:val="affd"/>
              <w:jc w:val="right"/>
              <w:rPr>
                <w:rStyle w:val="apple-style-span"/>
                <w:rFonts w:ascii="Arial" w:hAnsi="Arial" w:cs="Arial"/>
                <w:szCs w:val="21"/>
              </w:rPr>
            </w:pPr>
            <w:r w:rsidRPr="000D3C71">
              <w:rPr>
                <w:rFonts w:ascii="Arial" w:hAnsi="Arial" w:cs="Arial"/>
                <w:szCs w:val="21"/>
                <w:lang w:val="en"/>
              </w:rPr>
              <w:t>X%</w:t>
            </w:r>
          </w:p>
        </w:tc>
      </w:tr>
      <w:tr w:rsidR="00824725" w:rsidRPr="000D3C71" w14:paraId="21CFCE01" w14:textId="77777777" w:rsidTr="00504955">
        <w:tc>
          <w:tcPr>
            <w:tcW w:w="3969" w:type="dxa"/>
          </w:tcPr>
          <w:p w14:paraId="58C33DAF" w14:textId="77777777" w:rsidR="00A045C1" w:rsidRPr="000D3C71" w:rsidRDefault="00953439" w:rsidP="0003151F">
            <w:pPr>
              <w:pStyle w:val="affd"/>
              <w:rPr>
                <w:rFonts w:ascii="Arial" w:hAnsi="Arial" w:cs="Arial"/>
                <w:szCs w:val="21"/>
              </w:rPr>
            </w:pPr>
            <w:r w:rsidRPr="000D3C71">
              <w:rPr>
                <w:rFonts w:ascii="Arial" w:hAnsi="Arial" w:cs="Arial"/>
                <w:szCs w:val="21"/>
                <w:lang w:val="en"/>
              </w:rPr>
              <w:t>IOPV Publication Required</w:t>
            </w:r>
          </w:p>
        </w:tc>
        <w:tc>
          <w:tcPr>
            <w:tcW w:w="4221" w:type="dxa"/>
          </w:tcPr>
          <w:p w14:paraId="5522597C" w14:textId="77777777" w:rsidR="00A045C1" w:rsidRPr="000D3C71" w:rsidRDefault="00953439" w:rsidP="00504955">
            <w:pPr>
              <w:pStyle w:val="affd"/>
              <w:jc w:val="right"/>
              <w:rPr>
                <w:rStyle w:val="apple-style-span"/>
                <w:rFonts w:ascii="Arial" w:hAnsi="Arial" w:cs="Arial"/>
                <w:szCs w:val="21"/>
              </w:rPr>
            </w:pPr>
            <w:r w:rsidRPr="000D3C71">
              <w:rPr>
                <w:rFonts w:ascii="Arial" w:hAnsi="Arial" w:cs="Arial"/>
                <w:szCs w:val="21"/>
                <w:lang w:val="en"/>
              </w:rPr>
              <w:t>Yes</w:t>
            </w:r>
          </w:p>
        </w:tc>
      </w:tr>
      <w:tr w:rsidR="00824725" w:rsidRPr="000D3C71" w14:paraId="259CB269" w14:textId="77777777" w:rsidTr="00504955">
        <w:tc>
          <w:tcPr>
            <w:tcW w:w="3969" w:type="dxa"/>
          </w:tcPr>
          <w:p w14:paraId="3C1EBBAE" w14:textId="77777777" w:rsidR="00A045C1" w:rsidRPr="000D3C71" w:rsidRDefault="00953439" w:rsidP="0003151F">
            <w:pPr>
              <w:pStyle w:val="affd"/>
              <w:rPr>
                <w:rFonts w:ascii="Arial" w:hAnsi="Arial" w:cs="Arial"/>
                <w:szCs w:val="21"/>
              </w:rPr>
            </w:pPr>
            <w:r w:rsidRPr="000D3C71">
              <w:rPr>
                <w:rFonts w:ascii="Arial" w:hAnsi="Arial" w:cs="Arial"/>
                <w:szCs w:val="21"/>
                <w:lang w:val="en"/>
              </w:rPr>
              <w:t>Creation Unit (Number of Fund Units)</w:t>
            </w:r>
          </w:p>
        </w:tc>
        <w:tc>
          <w:tcPr>
            <w:tcW w:w="4221" w:type="dxa"/>
          </w:tcPr>
          <w:p w14:paraId="0212C859" w14:textId="77777777" w:rsidR="00A045C1" w:rsidRPr="000D3C71" w:rsidRDefault="00953439" w:rsidP="00504955">
            <w:pPr>
              <w:pStyle w:val="affd"/>
              <w:jc w:val="right"/>
              <w:rPr>
                <w:rStyle w:val="apple-style-span"/>
                <w:rFonts w:ascii="Arial" w:hAnsi="Arial" w:cs="Arial"/>
                <w:szCs w:val="21"/>
              </w:rPr>
            </w:pPr>
            <w:r w:rsidRPr="000D3C71">
              <w:rPr>
                <w:rFonts w:ascii="Arial" w:hAnsi="Arial" w:cs="Arial"/>
                <w:szCs w:val="21"/>
                <w:lang w:val="en"/>
              </w:rPr>
              <w:t>X</w:t>
            </w:r>
          </w:p>
        </w:tc>
      </w:tr>
      <w:tr w:rsidR="00824725" w:rsidRPr="000D3C71" w14:paraId="5C986690" w14:textId="77777777" w:rsidTr="00504955">
        <w:tc>
          <w:tcPr>
            <w:tcW w:w="3969" w:type="dxa"/>
          </w:tcPr>
          <w:p w14:paraId="077522D8" w14:textId="77777777" w:rsidR="00A045C1" w:rsidRPr="000D3C71" w:rsidRDefault="00953439" w:rsidP="0003151F">
            <w:pPr>
              <w:pStyle w:val="affd"/>
              <w:rPr>
                <w:rFonts w:ascii="Arial" w:hAnsi="Arial" w:cs="Arial"/>
                <w:szCs w:val="21"/>
              </w:rPr>
            </w:pPr>
            <w:r w:rsidRPr="000D3C71">
              <w:rPr>
                <w:rFonts w:ascii="Arial" w:hAnsi="Arial" w:cs="Arial"/>
                <w:szCs w:val="21"/>
                <w:lang w:val="en"/>
              </w:rPr>
              <w:t>Creation and Redemption Status</w:t>
            </w:r>
          </w:p>
        </w:tc>
        <w:tc>
          <w:tcPr>
            <w:tcW w:w="4221" w:type="dxa"/>
          </w:tcPr>
          <w:p w14:paraId="33C66188" w14:textId="77777777" w:rsidR="00A045C1" w:rsidRPr="000D3C71" w:rsidRDefault="00953439" w:rsidP="00504955">
            <w:pPr>
              <w:pStyle w:val="affd"/>
              <w:jc w:val="right"/>
              <w:rPr>
                <w:rFonts w:ascii="Arial" w:hAnsi="Arial" w:cs="Arial"/>
                <w:szCs w:val="21"/>
              </w:rPr>
            </w:pPr>
            <w:r w:rsidRPr="000D3C71">
              <w:rPr>
                <w:rStyle w:val="apple-style-span"/>
                <w:rFonts w:ascii="Arial" w:hAnsi="Arial" w:cs="Arial"/>
                <w:szCs w:val="21"/>
                <w:lang w:val="en"/>
              </w:rPr>
              <w:t>Creation and Redemption Permitted</w:t>
            </w:r>
          </w:p>
        </w:tc>
      </w:tr>
    </w:tbl>
    <w:p w14:paraId="5DA37914" w14:textId="77777777" w:rsidR="00A045C1" w:rsidRPr="000D3C71" w:rsidRDefault="00953439" w:rsidP="00A045C1">
      <w:pPr>
        <w:pStyle w:val="TOC1"/>
        <w:spacing w:before="312" w:line="240" w:lineRule="auto"/>
        <w:rPr>
          <w:rFonts w:ascii="Arial" w:hAnsi="Arial" w:cs="Arial"/>
          <w:szCs w:val="21"/>
        </w:rPr>
      </w:pPr>
      <w:r w:rsidRPr="000D3C71">
        <w:rPr>
          <w:rFonts w:ascii="Arial" w:hAnsi="Arial" w:cs="Arial"/>
          <w:szCs w:val="21"/>
          <w:lang w:val="en"/>
        </w:rPr>
        <w:t>Constituent Securities Information</w:t>
      </w:r>
    </w:p>
    <w:tbl>
      <w:tblPr>
        <w:tblStyle w:val="afff8"/>
        <w:tblW w:w="4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0" w:type="dxa"/>
          <w:left w:w="300" w:type="dxa"/>
          <w:right w:w="300" w:type="dxa"/>
        </w:tblCellMar>
        <w:tblLook w:val="04A0" w:firstRow="1" w:lastRow="0" w:firstColumn="1" w:lastColumn="0" w:noHBand="0" w:noVBand="1"/>
      </w:tblPr>
      <w:tblGrid>
        <w:gridCol w:w="1103"/>
        <w:gridCol w:w="979"/>
        <w:gridCol w:w="1002"/>
        <w:gridCol w:w="1012"/>
        <w:gridCol w:w="1049"/>
        <w:gridCol w:w="1814"/>
        <w:gridCol w:w="1093"/>
      </w:tblGrid>
      <w:tr w:rsidR="00824725" w:rsidRPr="000D3C71" w14:paraId="3E4AF33E" w14:textId="77777777" w:rsidTr="00766891">
        <w:trPr>
          <w:jc w:val="center"/>
        </w:trPr>
        <w:tc>
          <w:tcPr>
            <w:tcW w:w="1414" w:type="dxa"/>
            <w:tcMar>
              <w:top w:w="0" w:type="dxa"/>
              <w:left w:w="75" w:type="dxa"/>
              <w:bottom w:w="0" w:type="dxa"/>
              <w:right w:w="75" w:type="dxa"/>
            </w:tcMar>
            <w:vAlign w:val="center"/>
            <w:hideMark/>
          </w:tcPr>
          <w:p w14:paraId="6368DB24" w14:textId="77777777" w:rsidR="00A045C1" w:rsidRPr="000D3C71" w:rsidRDefault="00953439" w:rsidP="00504955">
            <w:pPr>
              <w:pStyle w:val="affd"/>
              <w:widowControl/>
              <w:jc w:val="center"/>
              <w:rPr>
                <w:rFonts w:ascii="Arial" w:hAnsi="Arial" w:cs="Arial"/>
                <w:b/>
                <w:bCs/>
                <w:kern w:val="0"/>
                <w:szCs w:val="21"/>
              </w:rPr>
            </w:pPr>
            <w:r w:rsidRPr="000D3C71">
              <w:rPr>
                <w:rFonts w:ascii="Arial" w:hAnsi="Arial" w:cs="Arial"/>
                <w:b/>
                <w:bCs/>
                <w:kern w:val="0"/>
                <w:szCs w:val="21"/>
                <w:lang w:val="en"/>
              </w:rPr>
              <w:t>Ticker</w:t>
            </w:r>
          </w:p>
        </w:tc>
        <w:tc>
          <w:tcPr>
            <w:tcW w:w="915" w:type="dxa"/>
            <w:tcMar>
              <w:top w:w="0" w:type="dxa"/>
              <w:left w:w="75" w:type="dxa"/>
              <w:bottom w:w="0" w:type="dxa"/>
              <w:right w:w="75" w:type="dxa"/>
            </w:tcMar>
            <w:vAlign w:val="center"/>
            <w:hideMark/>
          </w:tcPr>
          <w:p w14:paraId="48ABDCFA" w14:textId="77777777" w:rsidR="00A045C1" w:rsidRPr="000D3C71" w:rsidRDefault="00953439" w:rsidP="00504955">
            <w:pPr>
              <w:pStyle w:val="affd"/>
              <w:widowControl/>
              <w:jc w:val="center"/>
              <w:rPr>
                <w:rFonts w:ascii="Arial" w:hAnsi="Arial" w:cs="Arial"/>
                <w:b/>
                <w:bCs/>
                <w:kern w:val="0"/>
                <w:szCs w:val="21"/>
              </w:rPr>
            </w:pPr>
            <w:r w:rsidRPr="000D3C71">
              <w:rPr>
                <w:rFonts w:ascii="Arial" w:hAnsi="Arial" w:cs="Arial"/>
                <w:b/>
                <w:bCs/>
                <w:kern w:val="0"/>
                <w:szCs w:val="21"/>
                <w:lang w:val="en"/>
              </w:rPr>
              <w:t xml:space="preserve">Security Name </w:t>
            </w:r>
          </w:p>
        </w:tc>
        <w:tc>
          <w:tcPr>
            <w:tcW w:w="801" w:type="dxa"/>
            <w:tcMar>
              <w:top w:w="0" w:type="dxa"/>
              <w:left w:w="75" w:type="dxa"/>
              <w:bottom w:w="0" w:type="dxa"/>
              <w:right w:w="75" w:type="dxa"/>
            </w:tcMar>
            <w:vAlign w:val="center"/>
            <w:hideMark/>
          </w:tcPr>
          <w:p w14:paraId="0449480D" w14:textId="77777777" w:rsidR="00A045C1" w:rsidRPr="000D3C71" w:rsidRDefault="00953439" w:rsidP="00504955">
            <w:pPr>
              <w:pStyle w:val="affd"/>
              <w:widowControl/>
              <w:jc w:val="center"/>
              <w:rPr>
                <w:rFonts w:ascii="Arial" w:hAnsi="Arial" w:cs="Arial"/>
                <w:b/>
                <w:bCs/>
                <w:kern w:val="0"/>
                <w:szCs w:val="21"/>
              </w:rPr>
            </w:pPr>
            <w:r w:rsidRPr="000D3C71">
              <w:rPr>
                <w:rFonts w:ascii="Arial" w:hAnsi="Arial" w:cs="Arial"/>
                <w:b/>
                <w:bCs/>
                <w:kern w:val="0"/>
                <w:szCs w:val="21"/>
                <w:lang w:val="en"/>
              </w:rPr>
              <w:t xml:space="preserve">Quantity </w:t>
            </w:r>
          </w:p>
        </w:tc>
        <w:tc>
          <w:tcPr>
            <w:tcW w:w="1271" w:type="dxa"/>
            <w:tcMar>
              <w:top w:w="0" w:type="dxa"/>
              <w:left w:w="75" w:type="dxa"/>
              <w:bottom w:w="0" w:type="dxa"/>
              <w:right w:w="75" w:type="dxa"/>
            </w:tcMar>
            <w:vAlign w:val="center"/>
            <w:hideMark/>
          </w:tcPr>
          <w:p w14:paraId="0A5DDD6A" w14:textId="77777777" w:rsidR="00A045C1" w:rsidRPr="000D3C71" w:rsidRDefault="00953439" w:rsidP="00504955">
            <w:pPr>
              <w:pStyle w:val="affd"/>
              <w:widowControl/>
              <w:jc w:val="center"/>
              <w:rPr>
                <w:rFonts w:ascii="Arial" w:hAnsi="Arial" w:cs="Arial"/>
                <w:b/>
                <w:bCs/>
                <w:kern w:val="0"/>
                <w:szCs w:val="21"/>
              </w:rPr>
            </w:pPr>
            <w:r w:rsidRPr="000D3C71">
              <w:rPr>
                <w:rFonts w:ascii="Arial" w:hAnsi="Arial" w:cs="Arial"/>
                <w:b/>
                <w:bCs/>
                <w:kern w:val="0"/>
                <w:szCs w:val="21"/>
                <w:lang w:val="en"/>
              </w:rPr>
              <w:t>Cash-in-Lieu Flag</w:t>
            </w:r>
          </w:p>
        </w:tc>
        <w:tc>
          <w:tcPr>
            <w:tcW w:w="985" w:type="dxa"/>
            <w:tcMar>
              <w:top w:w="0" w:type="dxa"/>
              <w:left w:w="75" w:type="dxa"/>
              <w:bottom w:w="0" w:type="dxa"/>
              <w:right w:w="75" w:type="dxa"/>
            </w:tcMar>
            <w:vAlign w:val="center"/>
            <w:hideMark/>
          </w:tcPr>
          <w:p w14:paraId="4E03D1F2" w14:textId="77777777" w:rsidR="00A045C1" w:rsidRPr="000D3C71" w:rsidRDefault="00953439" w:rsidP="00504955">
            <w:pPr>
              <w:pStyle w:val="affd"/>
              <w:widowControl/>
              <w:jc w:val="center"/>
              <w:rPr>
                <w:rFonts w:ascii="Arial" w:hAnsi="Arial" w:cs="Arial"/>
                <w:b/>
                <w:bCs/>
                <w:kern w:val="0"/>
                <w:szCs w:val="21"/>
              </w:rPr>
            </w:pPr>
            <w:r w:rsidRPr="000D3C71">
              <w:rPr>
                <w:rFonts w:ascii="Arial" w:hAnsi="Arial" w:cs="Arial"/>
                <w:b/>
                <w:bCs/>
                <w:kern w:val="0"/>
                <w:szCs w:val="21"/>
                <w:lang w:val="en"/>
              </w:rPr>
              <w:t xml:space="preserve">Cash-in-lieu Premium Ratio for Creation </w:t>
            </w:r>
          </w:p>
        </w:tc>
        <w:tc>
          <w:tcPr>
            <w:tcW w:w="1435" w:type="dxa"/>
            <w:vAlign w:val="center"/>
          </w:tcPr>
          <w:p w14:paraId="039A11BA" w14:textId="77777777" w:rsidR="00A045C1" w:rsidRPr="000D3C71" w:rsidRDefault="00953439" w:rsidP="00504955">
            <w:pPr>
              <w:pStyle w:val="affd"/>
              <w:widowControl/>
              <w:jc w:val="center"/>
              <w:rPr>
                <w:rFonts w:ascii="Arial" w:hAnsi="Arial" w:cs="Arial"/>
                <w:b/>
                <w:bCs/>
                <w:kern w:val="0"/>
                <w:szCs w:val="21"/>
              </w:rPr>
            </w:pPr>
            <w:r w:rsidRPr="000D3C71">
              <w:rPr>
                <w:rFonts w:ascii="Arial" w:hAnsi="Arial" w:cs="Arial"/>
                <w:b/>
                <w:bCs/>
                <w:kern w:val="0"/>
                <w:szCs w:val="21"/>
                <w:lang w:val="en"/>
              </w:rPr>
              <w:t xml:space="preserve">Cash-in-lieu Discount Ratio for Redemption </w:t>
            </w:r>
          </w:p>
        </w:tc>
        <w:tc>
          <w:tcPr>
            <w:tcW w:w="1231" w:type="dxa"/>
            <w:tcMar>
              <w:top w:w="0" w:type="dxa"/>
              <w:left w:w="75" w:type="dxa"/>
              <w:bottom w:w="0" w:type="dxa"/>
              <w:right w:w="75" w:type="dxa"/>
            </w:tcMar>
            <w:vAlign w:val="center"/>
            <w:hideMark/>
          </w:tcPr>
          <w:p w14:paraId="48A6B3C2" w14:textId="77777777" w:rsidR="00A045C1" w:rsidRPr="000D3C71" w:rsidRDefault="00953439" w:rsidP="00504955">
            <w:pPr>
              <w:pStyle w:val="affd"/>
              <w:widowControl/>
              <w:jc w:val="center"/>
              <w:rPr>
                <w:rFonts w:ascii="Arial" w:hAnsi="Arial" w:cs="Arial"/>
                <w:b/>
                <w:bCs/>
                <w:kern w:val="0"/>
                <w:szCs w:val="21"/>
              </w:rPr>
            </w:pPr>
            <w:r w:rsidRPr="000D3C71">
              <w:rPr>
                <w:rFonts w:ascii="Arial" w:hAnsi="Arial" w:cs="Arial"/>
                <w:b/>
                <w:bCs/>
                <w:kern w:val="0"/>
                <w:szCs w:val="21"/>
                <w:lang w:val="en"/>
              </w:rPr>
              <w:t>Cash-in-lieu Amount</w:t>
            </w:r>
          </w:p>
        </w:tc>
      </w:tr>
      <w:tr w:rsidR="00824725" w:rsidRPr="000D3C71" w14:paraId="2CDEDCFA" w14:textId="77777777" w:rsidTr="00766891">
        <w:trPr>
          <w:jc w:val="center"/>
        </w:trPr>
        <w:tc>
          <w:tcPr>
            <w:tcW w:w="1414" w:type="dxa"/>
            <w:tcMar>
              <w:top w:w="0" w:type="dxa"/>
              <w:left w:w="75" w:type="dxa"/>
              <w:bottom w:w="0" w:type="dxa"/>
              <w:right w:w="75" w:type="dxa"/>
            </w:tcMar>
            <w:hideMark/>
          </w:tcPr>
          <w:p w14:paraId="5C625C3A" w14:textId="77777777" w:rsidR="003A035E" w:rsidRPr="000D3C71" w:rsidRDefault="00953439" w:rsidP="003A035E">
            <w:pPr>
              <w:pStyle w:val="affd"/>
              <w:jc w:val="center"/>
              <w:rPr>
                <w:rFonts w:ascii="Arial" w:hAnsi="Arial" w:cs="Arial"/>
                <w:szCs w:val="21"/>
              </w:rPr>
            </w:pPr>
            <w:r w:rsidRPr="000D3C71">
              <w:rPr>
                <w:rFonts w:ascii="Arial" w:hAnsi="Arial" w:cs="Arial"/>
                <w:szCs w:val="21"/>
                <w:lang w:val="en"/>
              </w:rPr>
              <w:t>X</w:t>
            </w:r>
          </w:p>
        </w:tc>
        <w:tc>
          <w:tcPr>
            <w:tcW w:w="915" w:type="dxa"/>
            <w:tcMar>
              <w:top w:w="0" w:type="dxa"/>
              <w:left w:w="75" w:type="dxa"/>
              <w:bottom w:w="0" w:type="dxa"/>
              <w:right w:w="75" w:type="dxa"/>
            </w:tcMar>
            <w:hideMark/>
          </w:tcPr>
          <w:p w14:paraId="4478FA95" w14:textId="77777777" w:rsidR="003A035E" w:rsidRPr="000D3C71" w:rsidRDefault="00953439" w:rsidP="003A035E">
            <w:pPr>
              <w:pStyle w:val="affd"/>
              <w:jc w:val="center"/>
              <w:rPr>
                <w:rFonts w:ascii="Arial" w:hAnsi="Arial" w:cs="Arial"/>
                <w:szCs w:val="21"/>
              </w:rPr>
            </w:pPr>
            <w:r w:rsidRPr="000D3C71">
              <w:rPr>
                <w:rFonts w:ascii="Arial" w:hAnsi="Arial" w:cs="Arial"/>
                <w:szCs w:val="21"/>
                <w:lang w:val="en"/>
              </w:rPr>
              <w:t>X</w:t>
            </w:r>
          </w:p>
        </w:tc>
        <w:tc>
          <w:tcPr>
            <w:tcW w:w="801" w:type="dxa"/>
            <w:tcMar>
              <w:top w:w="0" w:type="dxa"/>
              <w:left w:w="75" w:type="dxa"/>
              <w:bottom w:w="0" w:type="dxa"/>
              <w:right w:w="75" w:type="dxa"/>
            </w:tcMar>
            <w:hideMark/>
          </w:tcPr>
          <w:p w14:paraId="7031F3FA" w14:textId="77777777" w:rsidR="003A035E" w:rsidRPr="000D3C71" w:rsidRDefault="00953439" w:rsidP="003A035E">
            <w:pPr>
              <w:pStyle w:val="affd"/>
              <w:jc w:val="center"/>
              <w:rPr>
                <w:rFonts w:ascii="Arial" w:hAnsi="Arial" w:cs="Arial"/>
                <w:szCs w:val="21"/>
              </w:rPr>
            </w:pPr>
            <w:r w:rsidRPr="000D3C71">
              <w:rPr>
                <w:rFonts w:ascii="Arial" w:hAnsi="Arial" w:cs="Arial"/>
                <w:szCs w:val="21"/>
                <w:lang w:val="en"/>
              </w:rPr>
              <w:t>X</w:t>
            </w:r>
          </w:p>
        </w:tc>
        <w:tc>
          <w:tcPr>
            <w:tcW w:w="1271" w:type="dxa"/>
            <w:tcMar>
              <w:top w:w="0" w:type="dxa"/>
              <w:left w:w="75" w:type="dxa"/>
              <w:bottom w:w="0" w:type="dxa"/>
              <w:right w:w="75" w:type="dxa"/>
            </w:tcMar>
            <w:hideMark/>
          </w:tcPr>
          <w:p w14:paraId="4769B375" w14:textId="77777777" w:rsidR="003A035E" w:rsidRPr="000D3C71" w:rsidRDefault="00953439" w:rsidP="003A035E">
            <w:pPr>
              <w:pStyle w:val="affd"/>
              <w:widowControl/>
              <w:jc w:val="center"/>
              <w:rPr>
                <w:rFonts w:ascii="Arial" w:hAnsi="Arial" w:cs="Arial"/>
                <w:kern w:val="0"/>
                <w:szCs w:val="21"/>
              </w:rPr>
            </w:pPr>
            <w:r w:rsidRPr="000D3C71">
              <w:rPr>
                <w:rFonts w:ascii="Arial" w:hAnsi="Arial" w:cs="Arial"/>
                <w:szCs w:val="21"/>
                <w:lang w:val="en"/>
              </w:rPr>
              <w:t>X</w:t>
            </w:r>
          </w:p>
        </w:tc>
        <w:tc>
          <w:tcPr>
            <w:tcW w:w="985" w:type="dxa"/>
            <w:tcMar>
              <w:top w:w="0" w:type="dxa"/>
              <w:left w:w="75" w:type="dxa"/>
              <w:bottom w:w="0" w:type="dxa"/>
              <w:right w:w="75" w:type="dxa"/>
            </w:tcMar>
            <w:hideMark/>
          </w:tcPr>
          <w:p w14:paraId="3D16703D" w14:textId="77777777" w:rsidR="003A035E" w:rsidRPr="000D3C71" w:rsidRDefault="00953439" w:rsidP="003A035E">
            <w:pPr>
              <w:pStyle w:val="affd"/>
              <w:jc w:val="center"/>
              <w:rPr>
                <w:rFonts w:ascii="Arial" w:hAnsi="Arial" w:cs="Arial"/>
                <w:szCs w:val="21"/>
              </w:rPr>
            </w:pPr>
            <w:r w:rsidRPr="000D3C71">
              <w:rPr>
                <w:rFonts w:ascii="Arial" w:hAnsi="Arial" w:cs="Arial"/>
                <w:szCs w:val="21"/>
                <w:lang w:val="en"/>
              </w:rPr>
              <w:t>X</w:t>
            </w:r>
          </w:p>
        </w:tc>
        <w:tc>
          <w:tcPr>
            <w:tcW w:w="1435" w:type="dxa"/>
          </w:tcPr>
          <w:p w14:paraId="20DC9ABF" w14:textId="77777777" w:rsidR="003A035E" w:rsidRPr="000D3C71" w:rsidRDefault="00953439" w:rsidP="003A035E">
            <w:pPr>
              <w:pStyle w:val="affd"/>
              <w:jc w:val="center"/>
              <w:rPr>
                <w:rFonts w:ascii="Arial" w:hAnsi="Arial" w:cs="Arial"/>
                <w:szCs w:val="21"/>
              </w:rPr>
            </w:pPr>
            <w:r w:rsidRPr="000D3C71">
              <w:rPr>
                <w:rFonts w:ascii="Arial" w:hAnsi="Arial" w:cs="Arial"/>
                <w:szCs w:val="21"/>
                <w:lang w:val="en"/>
              </w:rPr>
              <w:t>X</w:t>
            </w:r>
          </w:p>
        </w:tc>
        <w:tc>
          <w:tcPr>
            <w:tcW w:w="1231" w:type="dxa"/>
            <w:tcMar>
              <w:top w:w="0" w:type="dxa"/>
              <w:left w:w="75" w:type="dxa"/>
              <w:bottom w:w="0" w:type="dxa"/>
              <w:right w:w="75" w:type="dxa"/>
            </w:tcMar>
            <w:hideMark/>
          </w:tcPr>
          <w:p w14:paraId="4A2948E9" w14:textId="77777777" w:rsidR="003A035E" w:rsidRPr="000D3C71" w:rsidRDefault="00953439" w:rsidP="003A035E">
            <w:pPr>
              <w:pStyle w:val="affd"/>
              <w:jc w:val="center"/>
              <w:rPr>
                <w:rFonts w:ascii="Arial" w:hAnsi="Arial" w:cs="Arial"/>
                <w:szCs w:val="21"/>
              </w:rPr>
            </w:pPr>
            <w:r w:rsidRPr="000D3C71">
              <w:rPr>
                <w:rFonts w:ascii="Arial" w:hAnsi="Arial" w:cs="Arial"/>
                <w:szCs w:val="21"/>
                <w:lang w:val="en"/>
              </w:rPr>
              <w:t>X</w:t>
            </w:r>
          </w:p>
        </w:tc>
      </w:tr>
    </w:tbl>
    <w:p w14:paraId="7CD01D7C" w14:textId="77777777" w:rsidR="00F578E5"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PCF above is for illustrative purposes only. The actually published PCF shall prevail.</w:t>
      </w:r>
    </w:p>
    <w:p w14:paraId="570826DD" w14:textId="77777777" w:rsidR="00187B0D"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(VIII) Circumstances for Rejecting or Suspending Creations</w:t>
      </w:r>
    </w:p>
    <w:p w14:paraId="6EC7E032" w14:textId="77777777" w:rsidR="00187B0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The Fund Manager may reject or suspend the acceptance of creation applications from investors under the following circumstances:</w:t>
      </w:r>
    </w:p>
    <w:p w14:paraId="04F0DE4C" w14:textId="77777777" w:rsidR="00187B0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1. The Fund is unable to operate normally due to force majeure.</w:t>
      </w:r>
    </w:p>
    <w:p w14:paraId="278CAE1A" w14:textId="77777777" w:rsidR="00187B0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2. Circumstances for suspending the valuation of the Fund’s assets, as stipulated in the Fund Contract, have occurred. When more than 50% of the Fund's NAV as of the previous valuation day consists of assets for which no quoted price in an active market is available and the use of valuation techniques still results in material uncertainty regarding their fair value, the Fund Manager shall, after consultation with and confirmation from the Fund Custodian, suspend the acceptance of Fund creation applications.</w:t>
      </w:r>
    </w:p>
    <w:p w14:paraId="5AFFE087" w14:textId="77777777" w:rsidR="00187B0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3. A temporary closure or unscheduled trading halt at the Shanghai Stock Exchange or Shenzhen Stock Exchange renders the Fund Manager unable to calculate the Fund's NAV for that day.</w:t>
      </w:r>
    </w:p>
    <w:p w14:paraId="25558704" w14:textId="77777777" w:rsidR="00187B0D" w:rsidRPr="000D3C71" w:rsidRDefault="00953439" w:rsidP="00503FB4">
      <w:pPr>
        <w:pStyle w:val="affd"/>
        <w:spacing w:line="360" w:lineRule="auto"/>
        <w:ind w:firstLineChars="200" w:firstLine="420"/>
        <w:rPr>
          <w:rFonts w:ascii="Arial" w:hAnsi="Arial" w:cs="Arial"/>
        </w:rPr>
      </w:pPr>
      <w:bookmarkStart w:id="69" w:name="_Hlt70481650"/>
      <w:bookmarkEnd w:id="69"/>
      <w:r w:rsidRPr="000D3C71">
        <w:rPr>
          <w:rFonts w:ascii="Arial" w:hAnsi="Arial" w:cs="Arial"/>
          <w:lang w:val="en"/>
        </w:rPr>
        <w:t>4. Relevant stock exchanges, the Registration and Clearing Agency, or authorized participants are unable to process creation applications due to abnormal circumstances.</w:t>
      </w:r>
    </w:p>
    <w:p w14:paraId="5D29747A" w14:textId="77777777" w:rsidR="00187B0D" w:rsidRPr="000D3C71" w:rsidRDefault="00953439" w:rsidP="00503FB4">
      <w:pPr>
        <w:pStyle w:val="af6"/>
        <w:rPr>
          <w:rFonts w:ascii="Arial" w:hAnsi="Arial" w:cs="Arial"/>
        </w:rPr>
      </w:pPr>
      <w:r w:rsidRPr="000D3C71">
        <w:rPr>
          <w:rFonts w:ascii="Arial" w:hAnsi="Arial" w:cs="Arial"/>
          <w:lang w:val="en"/>
        </w:rPr>
        <w:t>5. The Fund Manager is unable to publish the PCF before the market opens due to abnormal circumstances.</w:t>
      </w:r>
    </w:p>
    <w:p w14:paraId="1A6645DD" w14:textId="77777777" w:rsidR="00187B0D"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lang w:val="en"/>
        </w:rPr>
        <w:t>6. The PCF cannot be compiled or is improperly prepared due to abnormal circumstances.</w:t>
      </w:r>
    </w:p>
    <w:p w14:paraId="6092E515" w14:textId="77777777" w:rsidR="00187B0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7. The Fund’s asset size becomes excessively large, making it difficult for the Fund Manager to find suitable investment instruments, or other situations arise that could negatively affect the Fund’s performance and thereby harm the interests of existing Fund Unitholders.</w:t>
      </w:r>
    </w:p>
    <w:p w14:paraId="7E6B4080" w14:textId="77777777" w:rsidR="00187B0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8. The Fund Manager considers that accepting a specific creation application or group of applications may affect or harm the interests of existing Fund Unitholders.</w:t>
      </w:r>
    </w:p>
    <w:p w14:paraId="73966196" w14:textId="77777777" w:rsidR="00187B0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9. Other circumstances prescribed by laws and regulations, by the Shanghai Stock Exchange, or determined by the CSRC.</w:t>
      </w:r>
    </w:p>
    <w:p w14:paraId="6B2AB7B1" w14:textId="77777777" w:rsidR="00187B0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If a suspension of creations occurs due to any of the circumstances listed in items 1–7 above, the Fund Manager shall promptly make a public announcement. If an investor’s creation application is rejected, the corresponding creation payment shall be returned to the investor. Once the circumstances leading to suspension are resolved, the Fund Manager shall promptly resume processing creation applications.</w:t>
      </w:r>
    </w:p>
    <w:p w14:paraId="60D5F969" w14:textId="77777777" w:rsidR="00187B0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 xml:space="preserve">(IX) Circumstances for Suspending Redemptions or Deferring Payment of Redemption Proceeds </w:t>
      </w:r>
    </w:p>
    <w:p w14:paraId="0BCE1195" w14:textId="77777777" w:rsidR="00187B0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The Fund Manager may suspend the acceptance of redemption applications from investors or delay the payment of redemption proceeds under the following circumstances:</w:t>
      </w:r>
    </w:p>
    <w:p w14:paraId="7B852BD6" w14:textId="77777777" w:rsidR="00187B0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1. The Fund Manager is unable to pay redemption proceeds due to force majeure.</w:t>
      </w:r>
    </w:p>
    <w:p w14:paraId="3EEF9F1D" w14:textId="77777777" w:rsidR="00187B0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2. Circumstances for suspending the valuation of the Fund’s assets, as stipulated in the Fund Contract, have occurred. When more than 50% of the Fund’s NAV as of the previous valuation day consists of assets for which no quoted price in an active market is available and the use of valuation techniques still results in material uncertainty regarding their fair value, the Fund Manager shall, after consultation with and confirmation from the Fund Custodian, suspend the acceptance of redemption applications or delay the payment of redemption consideration.</w:t>
      </w:r>
    </w:p>
    <w:p w14:paraId="09B7E472" w14:textId="77777777" w:rsidR="00187B0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3. A temporary closure or unscheduled trading halt at the Shanghai Stock Exchange or Shenzhen Stock Exchange renders the Fund Manager unable to calculate the Fund's NAV for that day.</w:t>
      </w:r>
      <w:bookmarkStart w:id="70" w:name="_Hlt152500890"/>
    </w:p>
    <w:p w14:paraId="6EC392C6" w14:textId="77777777" w:rsidR="00187B0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4. Relevant stock exchanges, the Registration and Clearing Agency, or authorized participants are unable to process redemption applications due to abnormal circumstances.</w:t>
      </w:r>
    </w:p>
    <w:p w14:paraId="5FE299F5" w14:textId="77777777" w:rsidR="00187B0D" w:rsidRPr="000D3C71" w:rsidRDefault="00953439" w:rsidP="00503FB4">
      <w:pPr>
        <w:pStyle w:val="af6"/>
        <w:rPr>
          <w:rFonts w:ascii="Arial" w:hAnsi="Arial" w:cs="Arial"/>
        </w:rPr>
      </w:pPr>
      <w:r w:rsidRPr="000D3C71">
        <w:rPr>
          <w:rFonts w:ascii="Arial" w:hAnsi="Arial" w:cs="Arial"/>
          <w:lang w:val="en"/>
        </w:rPr>
        <w:t>5. The Fund Manager is unable to publish the PCF before the market opens due to abnormal circumstances.</w:t>
      </w:r>
    </w:p>
    <w:p w14:paraId="133938BA" w14:textId="77777777" w:rsidR="00187B0D"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lang w:val="en"/>
        </w:rPr>
        <w:t>6. The PCF cannot be compiled or is improperly prepared due to abnormal circumstances.</w:t>
      </w:r>
    </w:p>
    <w:bookmarkEnd w:id="70"/>
    <w:p w14:paraId="1542008E" w14:textId="77777777" w:rsidR="00187B0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7. Other circumstances prescribed by laws and regulations, by the Shanghai Stock Exchange, or determined by the CSRC.</w:t>
      </w:r>
    </w:p>
    <w:p w14:paraId="201BF7EB" w14:textId="77777777" w:rsidR="00187B0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If any of the above circumstances occur, the Fund Manager shall promptly make a public announcement. Once the circumstances leading to suspension are resolved, the Fund Manager shall promptly resume processing redemption applications and announce the resumption.</w:t>
      </w:r>
    </w:p>
    <w:p w14:paraId="6C02ABEA" w14:textId="77777777" w:rsidR="00187B0D" w:rsidRPr="000D3C71" w:rsidRDefault="00953439" w:rsidP="002C372A">
      <w:pPr>
        <w:pStyle w:val="affd"/>
        <w:autoSpaceDE w:val="0"/>
        <w:autoSpaceDN w:val="0"/>
        <w:adjustRightInd w:val="0"/>
        <w:spacing w:line="360" w:lineRule="auto"/>
        <w:ind w:firstLine="420"/>
        <w:rPr>
          <w:rFonts w:ascii="Arial" w:hAnsi="Arial" w:cs="Arial"/>
        </w:rPr>
      </w:pPr>
      <w:r w:rsidRPr="000D3C71">
        <w:rPr>
          <w:rFonts w:ascii="Arial" w:hAnsi="Arial" w:cs="Arial"/>
          <w:lang w:val="en"/>
        </w:rPr>
        <w:t>(X) Other Creation and Redemption Methods</w:t>
      </w:r>
    </w:p>
    <w:p w14:paraId="3D8A1D07" w14:textId="77777777" w:rsidR="00187B0D" w:rsidRPr="000D3C71" w:rsidRDefault="00953439" w:rsidP="00503FB4">
      <w:pPr>
        <w:pStyle w:val="af6"/>
        <w:rPr>
          <w:rFonts w:ascii="Arial" w:hAnsi="Arial" w:cs="Arial"/>
        </w:rPr>
      </w:pPr>
      <w:r w:rsidRPr="000D3C71">
        <w:rPr>
          <w:rFonts w:ascii="Arial" w:hAnsi="Arial" w:cs="Arial"/>
          <w:lang w:val="en"/>
        </w:rPr>
        <w:t>1. Provided that it does not violate laws and regulations and does not have a material adverse effect on the interests of Fund Unitholders, the Fund Manager may, based on specific conditions, launch off-exchange creation and redemption services for the Fund. The specific procedures and other related matters for off-exchange creation and redemption will be announced separately at that time.</w:t>
      </w:r>
    </w:p>
    <w:p w14:paraId="76887A78" w14:textId="77777777" w:rsidR="00187B0D" w:rsidRPr="000D3C71" w:rsidRDefault="00953439" w:rsidP="00503FB4">
      <w:pPr>
        <w:pStyle w:val="af6"/>
        <w:rPr>
          <w:rFonts w:ascii="Arial" w:hAnsi="Arial" w:cs="Arial"/>
        </w:rPr>
      </w:pPr>
      <w:r w:rsidRPr="000D3C71">
        <w:rPr>
          <w:rFonts w:ascii="Arial" w:hAnsi="Arial" w:cs="Arial"/>
          <w:lang w:val="en"/>
        </w:rPr>
        <w:t>2. An ETF feeder fund is an open-ended fund that invests the majority of its property in an ETF tracking the same underlying index, with the objective of closely tracking the index's performance while minimizing tracking difference and tracking error. If a feeder fund for this Fund is established, the feeder fund may create Units of this Fund prior to its listing on an exchange through a special in-kind or cash creation. The creation price shall be the NAV per Unit of the Fund on the special creation date, and no creation fee will be charged.</w:t>
      </w:r>
    </w:p>
    <w:p w14:paraId="6CCF4121" w14:textId="77777777" w:rsidR="00957CF9"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The number of Units created through such special creation is calculated as follows:</w:t>
      </w:r>
    </w:p>
    <w:p w14:paraId="4624633A" w14:textId="77777777" w:rsidR="00060CE4" w:rsidRPr="00F30169" w:rsidRDefault="00060CE4" w:rsidP="00060CE4">
      <w:pPr>
        <w:pStyle w:val="affd"/>
        <w:autoSpaceDE w:val="0"/>
        <w:autoSpaceDN w:val="0"/>
        <w:adjustRightInd w:val="0"/>
        <w:spacing w:line="360" w:lineRule="auto"/>
        <w:ind w:firstLine="420"/>
        <w:rPr>
          <w:rFonts w:ascii="Arial" w:hAnsi="Arial" w:cs="Arial"/>
        </w:rPr>
      </w:pPr>
      <w:r>
        <w:rPr>
          <w:rFonts w:ascii="Arial" w:hAnsi="Arial" w:cs="Arial"/>
          <w:lang w:val="en"/>
        </w:rPr>
        <w:t>Number of Created Units = [</w:t>
      </w:r>
      <w:r>
        <w:rPr>
          <w:rFonts w:ascii="Arial" w:hAnsi="Arial" w:cs="Arial"/>
          <w:lang w:val="en"/>
        </w:rPr>
        <w:object w:dxaOrig="480" w:dyaOrig="420" w14:anchorId="1C1E014B">
          <v:shape id="_x0000_i1053" type="#_x0000_t75" style="width:24.3pt;height:20.95pt" o:ole="">
            <v:imagedata r:id="rId12" o:title=""/>
          </v:shape>
          <o:OLEObject Type="Embed" ProgID="Equation.3" ShapeID="_x0000_i1053" DrawAspect="Content" ObjectID="_1822253780" r:id="rId13"/>
        </w:object>
      </w:r>
      <w:r>
        <w:rPr>
          <w:rFonts w:ascii="Arial" w:hAnsi="Arial" w:cs="Arial"/>
          <w:lang w:val="en"/>
        </w:rPr>
        <w:t xml:space="preserve"> (Closing Price of Stock </w:t>
      </w:r>
      <w:proofErr w:type="spellStart"/>
      <w:r>
        <w:rPr>
          <w:rFonts w:ascii="Arial" w:hAnsi="Arial" w:cs="Arial"/>
          <w:lang w:val="en"/>
        </w:rPr>
        <w:t>i</w:t>
      </w:r>
      <w:proofErr w:type="spellEnd"/>
      <w:r>
        <w:rPr>
          <w:rFonts w:ascii="Arial" w:hAnsi="Arial" w:cs="Arial"/>
          <w:lang w:val="en"/>
        </w:rPr>
        <w:t xml:space="preserve"> on Special Creation Date × Quantity of Stock </w:t>
      </w:r>
      <w:proofErr w:type="spellStart"/>
      <w:r>
        <w:rPr>
          <w:rFonts w:ascii="Arial" w:hAnsi="Arial" w:cs="Arial"/>
          <w:lang w:val="en"/>
        </w:rPr>
        <w:t>i</w:t>
      </w:r>
      <w:proofErr w:type="spellEnd"/>
      <w:r>
        <w:rPr>
          <w:rFonts w:ascii="Arial" w:hAnsi="Arial" w:cs="Arial"/>
          <w:lang w:val="en"/>
        </w:rPr>
        <w:t xml:space="preserve"> for Special Creation) + Total Cash for Special Creation] / NAV per Unit of the Fund on Special Creation Date</w:t>
      </w:r>
    </w:p>
    <w:p w14:paraId="0BC61658" w14:textId="77777777" w:rsidR="00957CF9" w:rsidRPr="000D3C71" w:rsidRDefault="00953439" w:rsidP="00957CF9">
      <w:pPr>
        <w:pStyle w:val="affd"/>
        <w:autoSpaceDE w:val="0"/>
        <w:autoSpaceDN w:val="0"/>
        <w:adjustRightInd w:val="0"/>
        <w:spacing w:line="360" w:lineRule="auto"/>
        <w:ind w:firstLine="420"/>
        <w:rPr>
          <w:rFonts w:ascii="Arial" w:hAnsi="Arial" w:cs="Arial"/>
        </w:rPr>
      </w:pPr>
      <w:r w:rsidRPr="000D3C71">
        <w:rPr>
          <w:rFonts w:ascii="Arial" w:hAnsi="Arial" w:cs="Arial"/>
          <w:lang w:val="en"/>
        </w:rPr>
        <w:t xml:space="preserve">The </w:t>
      </w:r>
      <w:proofErr w:type="gramStart"/>
      <w:r w:rsidRPr="000D3C71">
        <w:rPr>
          <w:rFonts w:ascii="Arial" w:hAnsi="Arial" w:cs="Arial"/>
          <w:lang w:val="en"/>
        </w:rPr>
        <w:t>aforementioned NAV</w:t>
      </w:r>
      <w:proofErr w:type="gramEnd"/>
      <w:r w:rsidRPr="000D3C71">
        <w:rPr>
          <w:rFonts w:ascii="Arial" w:hAnsi="Arial" w:cs="Arial"/>
          <w:lang w:val="en"/>
        </w:rPr>
        <w:t xml:space="preserve"> per Unit of the Fund on the special creation date excludes the portion attributable to the feeder fund’s special creation. It is calculated by the Fund Manager, reviewed by the Fund Custodian, and truncated to eight decimal places.</w:t>
      </w:r>
    </w:p>
    <w:p w14:paraId="4953E1F8" w14:textId="77777777" w:rsidR="00957CF9" w:rsidRPr="000D3C71" w:rsidRDefault="00953439" w:rsidP="00957CF9">
      <w:pPr>
        <w:pStyle w:val="affd"/>
        <w:autoSpaceDE w:val="0"/>
        <w:autoSpaceDN w:val="0"/>
        <w:adjustRightInd w:val="0"/>
        <w:spacing w:line="360" w:lineRule="auto"/>
        <w:ind w:firstLine="420"/>
        <w:rPr>
          <w:rFonts w:ascii="Arial" w:hAnsi="Arial" w:cs="Arial"/>
        </w:rPr>
      </w:pPr>
      <w:r w:rsidRPr="000D3C71">
        <w:rPr>
          <w:rFonts w:ascii="Arial" w:hAnsi="Arial" w:cs="Arial"/>
          <w:lang w:val="en"/>
        </w:rPr>
        <w:t>Where:</w:t>
      </w:r>
    </w:p>
    <w:p w14:paraId="3210C32F" w14:textId="77777777" w:rsidR="00957CF9" w:rsidRPr="000D3C71" w:rsidRDefault="00953439" w:rsidP="00957CF9">
      <w:pPr>
        <w:pStyle w:val="affd"/>
        <w:autoSpaceDE w:val="0"/>
        <w:autoSpaceDN w:val="0"/>
        <w:adjustRightInd w:val="0"/>
        <w:spacing w:line="360" w:lineRule="auto"/>
        <w:ind w:firstLine="420"/>
        <w:rPr>
          <w:rFonts w:ascii="Arial" w:hAnsi="Arial" w:cs="Arial"/>
        </w:rPr>
      </w:pPr>
      <w:r w:rsidRPr="000D3C71">
        <w:rPr>
          <w:rFonts w:ascii="Arial" w:hAnsi="Arial" w:cs="Arial"/>
          <w:lang w:val="en"/>
        </w:rPr>
        <w:t>(1) i represents the i-th stock in the special creation;</w:t>
      </w:r>
    </w:p>
    <w:p w14:paraId="481C9E9E" w14:textId="77777777" w:rsidR="00957CF9" w:rsidRPr="000D3C71" w:rsidRDefault="00953439" w:rsidP="00503FB4">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(2) The “closing price of stock i on the special creation date” is calculated by the Fund Manager based on data from the Shanghai and Shenzhen Stock Exchanges on that date. If the stock is suspended or has no trades that day, the closing price on its most recent trading day will be used.</w:t>
      </w:r>
    </w:p>
    <w:p w14:paraId="0CFDE440" w14:textId="77777777" w:rsidR="00957CF9" w:rsidRPr="000D3C71" w:rsidRDefault="00953439" w:rsidP="00503FB4">
      <w:pPr>
        <w:pStyle w:val="af6"/>
        <w:autoSpaceDE w:val="0"/>
        <w:autoSpaceDN w:val="0"/>
        <w:adjustRightInd w:val="0"/>
        <w:rPr>
          <w:rFonts w:ascii="Arial" w:hAnsi="Arial" w:cs="Arial"/>
          <w:szCs w:val="24"/>
        </w:rPr>
      </w:pPr>
      <w:r w:rsidRPr="000D3C71">
        <w:rPr>
          <w:rFonts w:ascii="Arial" w:hAnsi="Arial" w:cs="Arial"/>
          <w:lang w:val="en"/>
        </w:rPr>
        <w:t>If any stock experiences a corporate action (such as an ex-dividend event, bonus issue, or rights offering) during the period between the special creation date and the stock transfer date at the Registration and Clearing Agency, the Fund Manager shall adjust the closing price of that stock on the special creation date accordingly, as the feeder fund will receive the corresponding entitlements:</w:t>
      </w:r>
    </w:p>
    <w:p w14:paraId="032A1E5B" w14:textId="77777777" w:rsidR="00957CF9" w:rsidRPr="000D3C71" w:rsidRDefault="00953439" w:rsidP="00957CF9">
      <w:pPr>
        <w:pStyle w:val="affd"/>
        <w:autoSpaceDE w:val="0"/>
        <w:autoSpaceDN w:val="0"/>
        <w:adjustRightInd w:val="0"/>
        <w:spacing w:line="360" w:lineRule="auto"/>
        <w:ind w:firstLine="420"/>
        <w:rPr>
          <w:rFonts w:ascii="Arial" w:hAnsi="Arial" w:cs="Arial"/>
        </w:rPr>
      </w:pPr>
      <w:r w:rsidRPr="000D3C71">
        <w:rPr>
          <w:rFonts w:ascii="Cambria Math" w:hAnsi="Cambria Math" w:cs="Cambria Math"/>
          <w:lang w:val="en"/>
        </w:rPr>
        <w:t>①</w:t>
      </w:r>
      <w:r w:rsidRPr="000D3C71">
        <w:rPr>
          <w:rFonts w:ascii="Arial" w:hAnsi="Arial" w:cs="Arial"/>
          <w:lang w:val="en"/>
        </w:rPr>
        <w:t xml:space="preserve"> Ex-dividend: Adjusted price = Closing price on special creation date − Cash dividend per share</w:t>
      </w:r>
    </w:p>
    <w:p w14:paraId="01DB37E5" w14:textId="77777777" w:rsidR="00957CF9" w:rsidRPr="000D3C71" w:rsidRDefault="00953439" w:rsidP="00957CF9">
      <w:pPr>
        <w:pStyle w:val="affd"/>
        <w:autoSpaceDE w:val="0"/>
        <w:autoSpaceDN w:val="0"/>
        <w:adjustRightInd w:val="0"/>
        <w:spacing w:line="360" w:lineRule="auto"/>
        <w:ind w:firstLine="420"/>
        <w:rPr>
          <w:rFonts w:ascii="Arial" w:hAnsi="Arial" w:cs="Arial"/>
        </w:rPr>
      </w:pPr>
      <w:r w:rsidRPr="000D3C71">
        <w:rPr>
          <w:rFonts w:ascii="Cambria Math" w:hAnsi="Cambria Math" w:cs="Cambria Math"/>
          <w:lang w:val="en"/>
        </w:rPr>
        <w:t>②</w:t>
      </w:r>
      <w:r w:rsidRPr="000D3C71">
        <w:rPr>
          <w:rFonts w:ascii="Arial" w:hAnsi="Arial" w:cs="Arial"/>
          <w:lang w:val="en"/>
        </w:rPr>
        <w:t xml:space="preserve"> Bonus issue: Adjusted price = Closing price on special creation date / (1 + Bonus issue ratio per share)</w:t>
      </w:r>
    </w:p>
    <w:p w14:paraId="51FBED76" w14:textId="77777777" w:rsidR="00957CF9" w:rsidRPr="000D3C71" w:rsidRDefault="00953439" w:rsidP="00957CF9">
      <w:pPr>
        <w:pStyle w:val="affd"/>
        <w:autoSpaceDE w:val="0"/>
        <w:autoSpaceDN w:val="0"/>
        <w:adjustRightInd w:val="0"/>
        <w:spacing w:line="360" w:lineRule="auto"/>
        <w:ind w:firstLine="420"/>
        <w:rPr>
          <w:rFonts w:ascii="Arial" w:hAnsi="Arial" w:cs="Arial"/>
        </w:rPr>
      </w:pPr>
      <w:r w:rsidRPr="000D3C71">
        <w:rPr>
          <w:rFonts w:ascii="Cambria Math" w:hAnsi="Cambria Math" w:cs="Cambria Math"/>
          <w:lang w:val="en"/>
        </w:rPr>
        <w:t>③</w:t>
      </w:r>
      <w:r w:rsidRPr="000D3C71">
        <w:rPr>
          <w:rFonts w:ascii="Arial" w:hAnsi="Arial" w:cs="Arial"/>
          <w:lang w:val="en"/>
        </w:rPr>
        <w:t xml:space="preserve"> Rights offering: Adjusted price = (Closing price on special creation date + Rights issue price × Rights issue ratio) / (1 + Rights issue ratio per share)</w:t>
      </w:r>
    </w:p>
    <w:p w14:paraId="48D1AB38" w14:textId="77777777" w:rsidR="00957CF9" w:rsidRPr="000D3C71" w:rsidRDefault="00953439" w:rsidP="00957CF9">
      <w:pPr>
        <w:pStyle w:val="affd"/>
        <w:autoSpaceDE w:val="0"/>
        <w:autoSpaceDN w:val="0"/>
        <w:adjustRightInd w:val="0"/>
        <w:spacing w:line="360" w:lineRule="auto"/>
        <w:ind w:firstLine="420"/>
        <w:rPr>
          <w:rFonts w:ascii="Arial" w:hAnsi="Arial" w:cs="Arial"/>
        </w:rPr>
      </w:pPr>
      <w:r w:rsidRPr="000D3C71">
        <w:rPr>
          <w:rFonts w:ascii="Cambria Math" w:hAnsi="Cambria Math" w:cs="Cambria Math"/>
          <w:lang w:val="en"/>
        </w:rPr>
        <w:t>④</w:t>
      </w:r>
      <w:r w:rsidRPr="000D3C71">
        <w:rPr>
          <w:rFonts w:ascii="Arial" w:hAnsi="Arial" w:cs="Arial"/>
          <w:lang w:val="en"/>
        </w:rPr>
        <w:t xml:space="preserve"> Bonus issue and rights offering: Adjusted price = (Closing price on special creation date + Rights issue price × Rights issue ratio) / (1 + Bonus issue ratio per share + Rights issue ratio per share)</w:t>
      </w:r>
    </w:p>
    <w:p w14:paraId="2EA24FFF" w14:textId="77777777" w:rsidR="00957CF9" w:rsidRPr="000D3C71" w:rsidRDefault="00953439" w:rsidP="00957CF9">
      <w:pPr>
        <w:pStyle w:val="affd"/>
        <w:autoSpaceDE w:val="0"/>
        <w:autoSpaceDN w:val="0"/>
        <w:adjustRightInd w:val="0"/>
        <w:spacing w:line="360" w:lineRule="auto"/>
        <w:ind w:firstLine="420"/>
        <w:rPr>
          <w:rFonts w:ascii="Arial" w:hAnsi="Arial" w:cs="Arial"/>
        </w:rPr>
      </w:pPr>
      <w:r w:rsidRPr="000D3C71">
        <w:rPr>
          <w:rFonts w:ascii="Cambria Math" w:hAnsi="Cambria Math" w:cs="Cambria Math"/>
          <w:lang w:val="en"/>
        </w:rPr>
        <w:t>⑤</w:t>
      </w:r>
      <w:r w:rsidRPr="000D3C71">
        <w:rPr>
          <w:rFonts w:ascii="Arial" w:hAnsi="Arial" w:cs="Arial"/>
          <w:lang w:val="en"/>
        </w:rPr>
        <w:t xml:space="preserve"> Ex-dividend, bonus issue, and rights offering: Adjusted price = (Closing price on special creation date + Rights issue price × Rights issue ratio − Cash dividend per share) / (1 + Bonus issue ratio per share + Rights issue ratio per share)</w:t>
      </w:r>
    </w:p>
    <w:p w14:paraId="23E3BC82" w14:textId="77777777" w:rsidR="00957CF9" w:rsidRPr="000D3C71" w:rsidRDefault="00953439" w:rsidP="00957CF9">
      <w:pPr>
        <w:pStyle w:val="affd"/>
        <w:autoSpaceDE w:val="0"/>
        <w:autoSpaceDN w:val="0"/>
        <w:adjustRightInd w:val="0"/>
        <w:spacing w:line="360" w:lineRule="auto"/>
        <w:ind w:firstLine="420"/>
        <w:rPr>
          <w:rFonts w:ascii="Arial" w:hAnsi="Arial" w:cs="Arial"/>
        </w:rPr>
      </w:pPr>
      <w:r w:rsidRPr="000D3C71">
        <w:rPr>
          <w:rFonts w:ascii="Arial" w:hAnsi="Arial" w:cs="Arial"/>
          <w:lang w:val="en"/>
        </w:rPr>
        <w:t>The number of Units created through special creation shall be truncated to a whole number, and the discarded portion shall become an asset of the Fund.</w:t>
      </w:r>
    </w:p>
    <w:p w14:paraId="72C39D04" w14:textId="77777777" w:rsidR="00187B0D" w:rsidRPr="000D3C71" w:rsidRDefault="00953439" w:rsidP="00503FB4">
      <w:pPr>
        <w:pStyle w:val="af6"/>
        <w:rPr>
          <w:rFonts w:ascii="Arial" w:hAnsi="Arial" w:cs="Arial"/>
        </w:rPr>
      </w:pPr>
      <w:r w:rsidRPr="000D3C71">
        <w:rPr>
          <w:rFonts w:ascii="Arial" w:hAnsi="Arial" w:cs="Arial"/>
          <w:lang w:val="en"/>
        </w:rPr>
        <w:t>3.  The Fund Manager may, without violating laws and regulations and without any material adverse effect on Fund Unitholders’ interests, adjust the Fund’s creation and redemption methods or the composition of creation and redemption consideration, following a prior announcement.</w:t>
      </w:r>
    </w:p>
    <w:p w14:paraId="556BA1D5" w14:textId="77777777" w:rsidR="00187B0D" w:rsidRPr="000D3C71" w:rsidRDefault="00953439" w:rsidP="002C372A">
      <w:pPr>
        <w:pStyle w:val="affd"/>
        <w:spacing w:line="360" w:lineRule="auto"/>
        <w:ind w:firstLine="420"/>
        <w:rPr>
          <w:rFonts w:ascii="Arial" w:hAnsi="Arial" w:cs="Arial"/>
          <w:szCs w:val="18"/>
        </w:rPr>
      </w:pPr>
      <w:r w:rsidRPr="000D3C71">
        <w:rPr>
          <w:rFonts w:ascii="Arial" w:hAnsi="Arial" w:cs="Arial"/>
          <w:szCs w:val="18"/>
          <w:lang w:val="en"/>
        </w:rPr>
        <w:t>4.  When conditions permit, the Fund Manager may enable pooled creation, allowing multiple investors to combine their portfolio securities to form a Creation Unit or its integral multiples for creation.</w:t>
      </w:r>
    </w:p>
    <w:p w14:paraId="1D2C3A21" w14:textId="77777777" w:rsidR="00187B0D" w:rsidRPr="000D3C71" w:rsidRDefault="00953439" w:rsidP="002C372A">
      <w:pPr>
        <w:pStyle w:val="affd"/>
        <w:spacing w:line="360" w:lineRule="auto"/>
        <w:ind w:firstLine="420"/>
        <w:rPr>
          <w:rFonts w:ascii="Arial" w:hAnsi="Arial" w:cs="Arial"/>
          <w:szCs w:val="18"/>
        </w:rPr>
      </w:pPr>
      <w:r w:rsidRPr="000D3C71">
        <w:rPr>
          <w:rFonts w:ascii="Arial" w:hAnsi="Arial" w:cs="Arial"/>
          <w:lang w:val="en"/>
        </w:rPr>
        <w:t>5.  Agencies designated by the Fund Manager may carry out other services in accordance with the Fund Contract, provided that both parties execute a written agency agreement and a public announcement is made.</w:t>
      </w:r>
    </w:p>
    <w:p w14:paraId="44BEBDFC" w14:textId="77777777" w:rsidR="00187B0D" w:rsidRPr="000D3C71" w:rsidRDefault="00953439" w:rsidP="00503FB4">
      <w:pPr>
        <w:pStyle w:val="af6"/>
        <w:rPr>
          <w:rFonts w:ascii="Arial" w:hAnsi="Arial" w:cs="Arial"/>
        </w:rPr>
      </w:pPr>
      <w:r w:rsidRPr="000D3C71">
        <w:rPr>
          <w:rFonts w:ascii="Arial" w:hAnsi="Arial" w:cs="Arial"/>
          <w:lang w:val="en"/>
        </w:rPr>
        <w:t>(XI) Conversion of Fund Units</w:t>
      </w:r>
    </w:p>
    <w:p w14:paraId="648B36A6" w14:textId="77777777" w:rsidR="00187B0D"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To enhance trading convenience or as needed (for example, due to a change of the Underlying Index), the Fund Manager may apply to the Registration and Clearing Agency to conduct a conversion and registration amendment of Fund Units. After the conversion, the total number of Fund Units and the number of Units held by each Fund Unitholder will be adjusted, but each Fund Unitholder’s proportional ownership interest in the Fund remains unchanged. The conversion of Fund Units has no material impact on the rights or interests of Fund Unitholders. Following the conversion, Fund Unitholders shall exercise rights and bear obligations in accordance with their adjusted Fund Units. The Fund Manager shall issue the necessary announcements and notify the Fund Custodian in advance.</w:t>
      </w:r>
    </w:p>
    <w:p w14:paraId="4BBC70CB" w14:textId="77777777" w:rsidR="00187B0D"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(XII) Non-Trading Transfers and Other Services for Fund Units</w:t>
      </w:r>
    </w:p>
    <w:p w14:paraId="17400A91" w14:textId="77777777" w:rsidR="00187B0D"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The Registration and Clearing Agency may, in accordance with applicable laws, regulations, and its business rules, process transactions such as transfer of custody, non-trading transfers, pledges, freezes, and unfreezes of Fund Units, and may charge applicable processing fees.</w:t>
      </w:r>
    </w:p>
    <w:p w14:paraId="0EE228F5" w14:textId="77777777" w:rsidR="00187B0D"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(XIII) Within the scope permitted by laws and regulations and provided that the material interests of Fund Unitholders are not affected, the Fund Manager may supplement or adjust the foregoing creation and redemption arrangements in light of market conditions, subject to prior public announcement.</w:t>
      </w:r>
    </w:p>
    <w:p w14:paraId="1549EF09" w14:textId="77777777" w:rsidR="0081561B" w:rsidRPr="000D3C71" w:rsidRDefault="00953439" w:rsidP="002C372A">
      <w:pPr>
        <w:pStyle w:val="Heading3"/>
        <w:rPr>
          <w:rFonts w:ascii="Arial" w:hAnsi="Arial" w:cs="Arial"/>
        </w:rPr>
      </w:pPr>
      <w:bookmarkStart w:id="71" w:name="_Toc340435594"/>
      <w:bookmarkStart w:id="72" w:name="_Toc340435524"/>
      <w:bookmarkStart w:id="73" w:name="_Toc329633095"/>
      <w:bookmarkStart w:id="74" w:name="_Toc211640925"/>
      <w:r w:rsidRPr="000D3C71">
        <w:rPr>
          <w:rFonts w:ascii="Arial" w:hAnsi="Arial" w:cs="Arial"/>
          <w:b w:val="0"/>
          <w:lang w:val="en"/>
        </w:rPr>
        <w:t>X. Fund Investments</w:t>
      </w:r>
      <w:bookmarkEnd w:id="71"/>
      <w:bookmarkEnd w:id="72"/>
      <w:bookmarkEnd w:id="73"/>
      <w:bookmarkEnd w:id="74"/>
    </w:p>
    <w:p w14:paraId="5063F04E"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(I) Investment Objective</w:t>
      </w:r>
    </w:p>
    <w:p w14:paraId="2506B77B"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To closely track the Underlying Index, pursuing minimization of tracking deviation and tracking error.</w:t>
      </w:r>
    </w:p>
    <w:p w14:paraId="0DB9A6AE"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(II) Underlying Index</w:t>
      </w:r>
    </w:p>
    <w:p w14:paraId="263C0F25" w14:textId="77777777" w:rsidR="0081561B"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1. The Fund’s Underlying Index is the CSI 300 Index.</w:t>
      </w:r>
    </w:p>
    <w:p w14:paraId="691DBF2D" w14:textId="77777777" w:rsidR="00700551"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If, in the future, the Underlying Index ceases to comply with applicable laws, regulations, or supervisory requirements (except where such non-compliance arises from factors other than changes to its methodology, such as price fluctuations of constituent securities), or if the index provider ceases operations, the Fund Manager shall, within ten business days from the occurrence of such event, report to the CSRC and propose a resolution. Possible resolutions include changing the Fund’s Underlying Index, converting the Fund’s mode of operation, merging with another fund, or terminating the Fund Contract. A general meeting of Fund Unitholders shall be convened within six months to vote on the proposed resolution.</w:t>
      </w:r>
    </w:p>
    <w:p w14:paraId="353C1F27" w14:textId="77777777" w:rsidR="00700551"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During the period between the suspension of the index’s compilation and publication and the determination of a resolution, the Fund Manager shall maintain investment operations based on the index information as of the most recent trading day.</w:t>
      </w:r>
    </w:p>
    <w:p w14:paraId="5E83F408" w14:textId="77777777" w:rsidR="00700551"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During the operation of the Fund, if any constituent security of the index experiences a material adverse event and faces delisting or default risk, and the index provider has not yet made an adjustment, the Fund Manager shall, following internal decision-making procedures and in accordance with the principle of prioritizing Fund Unitholders’ interests, make prompt adjustments to the relevant holdings.</w:t>
      </w:r>
    </w:p>
    <w:p w14:paraId="0735C115" w14:textId="77777777" w:rsidR="00700551"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Where otherwise provided by laws, regulations, or regulatory authorities, such provisions shall prevail.</w:t>
      </w:r>
    </w:p>
    <w:p w14:paraId="343D04DE" w14:textId="77777777" w:rsidR="00700551"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2. CSI 300 Index</w:t>
      </w:r>
    </w:p>
    <w:p w14:paraId="23F08201" w14:textId="77777777" w:rsidR="00700551"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For information on the index methodology, please refer to the appendix of this Prospectus. Investors may access index information at: http://www.csindex.com.cn/</w:t>
      </w:r>
    </w:p>
    <w:p w14:paraId="5CB83388"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(III) Investment Scope</w:t>
      </w:r>
    </w:p>
    <w:p w14:paraId="219DDA13" w14:textId="77777777" w:rsidR="0081561B" w:rsidRPr="000D3C71" w:rsidRDefault="00953439" w:rsidP="002C372A">
      <w:pPr>
        <w:pStyle w:val="affd"/>
        <w:spacing w:line="360" w:lineRule="auto"/>
        <w:ind w:firstLine="480"/>
        <w:rPr>
          <w:rFonts w:ascii="Arial" w:hAnsi="Arial" w:cs="Arial"/>
        </w:rPr>
      </w:pPr>
      <w:r w:rsidRPr="000D3C71">
        <w:rPr>
          <w:rFonts w:ascii="Arial" w:hAnsi="Arial" w:cs="Arial"/>
          <w:lang w:val="en"/>
        </w:rPr>
        <w:t>The Fund primarily invests in the constituent securities and alternate constituent securities of the Underlying Index. To better achieve its investment objective, the Fund may also invest in non-constituent securities, bonds, stock index futures, warrants, and other financial instruments permitted by laws, regulations, or the CSRC.</w:t>
      </w:r>
    </w:p>
    <w:p w14:paraId="3FC3D36F" w14:textId="77777777" w:rsidR="00E66326" w:rsidRPr="000D3C71" w:rsidRDefault="00953439" w:rsidP="002C372A">
      <w:pPr>
        <w:pStyle w:val="affd"/>
        <w:spacing w:line="360" w:lineRule="auto"/>
        <w:ind w:firstLine="480"/>
        <w:rPr>
          <w:rFonts w:ascii="Arial" w:hAnsi="Arial" w:cs="Arial"/>
          <w:bCs/>
          <w:szCs w:val="21"/>
        </w:rPr>
      </w:pPr>
      <w:r w:rsidRPr="000D3C71">
        <w:rPr>
          <w:rFonts w:ascii="Arial" w:hAnsi="Arial" w:cs="Arial"/>
          <w:szCs w:val="21"/>
          <w:lang w:val="en"/>
        </w:rPr>
        <w:t>The stocks within the Fund’s investment scope include depositary receipts.</w:t>
      </w:r>
    </w:p>
    <w:p w14:paraId="56931C92" w14:textId="77777777" w:rsidR="0081561B" w:rsidRPr="000D3C71" w:rsidRDefault="00953439" w:rsidP="002C372A">
      <w:pPr>
        <w:pStyle w:val="affd"/>
        <w:spacing w:line="360" w:lineRule="auto"/>
        <w:ind w:firstLine="480"/>
        <w:rPr>
          <w:rFonts w:ascii="Arial" w:hAnsi="Arial" w:cs="Arial"/>
          <w:bCs/>
          <w:szCs w:val="21"/>
        </w:rPr>
      </w:pPr>
      <w:r w:rsidRPr="000D3C71">
        <w:rPr>
          <w:rFonts w:ascii="Arial" w:hAnsi="Arial" w:cs="Arial"/>
          <w:szCs w:val="21"/>
          <w:lang w:val="en"/>
        </w:rPr>
        <w:t>If new investment categories are permitted by laws, regulations, or regulatory authorities in the future, the Fund Manager may, after completing the necessary procedures, include such categories within the Fund’s investment scope.</w:t>
      </w:r>
    </w:p>
    <w:p w14:paraId="64BBDF4F" w14:textId="77777777" w:rsidR="00BB2AC1"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The proportion of the Fund’s assets invested in constituent securities and alternate constituent securities of the Underlying Index shall not be less than 90% of the Fund’s NAV.</w:t>
      </w:r>
    </w:p>
    <w:p w14:paraId="1672C47A"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(IV) Investment Strategy</w:t>
      </w:r>
    </w:p>
    <w:p w14:paraId="4BE82994"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Fund primarily adopts a portfolio replication strategy, complemented by appropriate alternative strategies, to better track the Underlying Index and achieve its investment objective.</w:t>
      </w:r>
    </w:p>
    <w:p w14:paraId="248FE184"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1. Replication Strategy</w:t>
      </w:r>
    </w:p>
    <w:p w14:paraId="3ECB5B1F"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Fund principally employs a full replication approach, constructing its equity portfolio in accordance with the constituent securities and their weights in the Underlying Index, and adjusting the portfolio in response to changes in the constituents and their respective weights.</w:t>
      </w:r>
    </w:p>
    <w:p w14:paraId="1A7389C2"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2. Alternative Strategy</w:t>
      </w:r>
    </w:p>
    <w:p w14:paraId="5D78949E"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Where insufficient market liquidity, legal or regulatory investment restrictions on certain constituent securities, or other circumstances prevent the Fund from acquiring sufficient quantities of particular stocks, the Fund Manager may invest in constituent securities, non-constituent securities, or other financial instruments permitted by the CSRC as substitutes.</w:t>
      </w:r>
    </w:p>
    <w:p w14:paraId="75EA53A0" w14:textId="77777777" w:rsidR="00E66326"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3. Depositary Receipt Investment Strategy</w:t>
      </w:r>
    </w:p>
    <w:p w14:paraId="39972659" w14:textId="77777777" w:rsidR="00E66326"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Based on in-depth analysis, the Fund will employ qualitative and quantitative analyses to identify suitable depositary receipt investment targets.</w:t>
      </w:r>
    </w:p>
    <w:p w14:paraId="76A6FCAB"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4. Stock Index Futures Investment Strategy</w:t>
      </w:r>
    </w:p>
    <w:p w14:paraId="7F38323D" w14:textId="77777777" w:rsidR="00BB2AC1" w:rsidRPr="000D3C71" w:rsidRDefault="00953439" w:rsidP="00503FB4">
      <w:pPr>
        <w:pStyle w:val="af6"/>
        <w:rPr>
          <w:rFonts w:ascii="Arial" w:hAnsi="Arial" w:cs="Arial"/>
        </w:rPr>
      </w:pPr>
      <w:r w:rsidRPr="000D3C71">
        <w:rPr>
          <w:rFonts w:ascii="Arial" w:hAnsi="Arial" w:cs="Arial"/>
          <w:lang w:val="en"/>
        </w:rPr>
        <w:t>The Fund may invest in stock index futures for hedging purposes, in line with the principles of risk management. The Fund will primarily select stock index futures contracts with high liquidity and active trading to reduce the transaction costs of rebalancing equity positions and improve investment efficiency, thereby better tracking the Underlying Index and achieving its investment objective.</w:t>
      </w:r>
    </w:p>
    <w:p w14:paraId="29EC53C2" w14:textId="77777777" w:rsidR="00957CF9" w:rsidRPr="000D3C71" w:rsidRDefault="00953439" w:rsidP="00503FB4">
      <w:pPr>
        <w:pStyle w:val="af6"/>
        <w:rPr>
          <w:rFonts w:ascii="Arial" w:hAnsi="Arial" w:cs="Arial"/>
        </w:rPr>
      </w:pPr>
      <w:r w:rsidRPr="000D3C71">
        <w:rPr>
          <w:rFonts w:ascii="Arial" w:hAnsi="Arial" w:cs="Arial"/>
          <w:lang w:val="en"/>
        </w:rPr>
        <w:t>5. Warrant Investment Strategy</w:t>
      </w:r>
    </w:p>
    <w:p w14:paraId="6A560E38" w14:textId="77777777" w:rsidR="00957CF9" w:rsidRPr="000D3C71" w:rsidRDefault="00953439" w:rsidP="00503FB4">
      <w:pPr>
        <w:pStyle w:val="af6"/>
        <w:rPr>
          <w:rFonts w:ascii="Arial" w:hAnsi="Arial" w:cs="Arial"/>
        </w:rPr>
      </w:pPr>
      <w:r w:rsidRPr="000D3C71">
        <w:rPr>
          <w:rFonts w:ascii="Arial" w:hAnsi="Arial" w:cs="Arial"/>
          <w:lang w:val="en"/>
        </w:rPr>
        <w:t>The Fund will perform fundamental analysis on the underlying securities of warrants and use various option-pricing models to determine fair value. Based on this analysis and the composition of the Fund’s portfolio, it may invest in warrants to an appropriate extent.</w:t>
      </w:r>
    </w:p>
    <w:p w14:paraId="026C64E5" w14:textId="77777777" w:rsidR="0081561B" w:rsidRPr="000D3C71" w:rsidRDefault="00953439" w:rsidP="00503FB4">
      <w:pPr>
        <w:pStyle w:val="af6"/>
        <w:rPr>
          <w:rFonts w:ascii="Arial" w:hAnsi="Arial" w:cs="Arial"/>
        </w:rPr>
      </w:pPr>
      <w:r w:rsidRPr="000D3C71">
        <w:rPr>
          <w:rFonts w:ascii="Arial" w:hAnsi="Arial" w:cs="Arial"/>
          <w:lang w:val="en"/>
        </w:rPr>
        <w:t>The Fund seeks to maintain an absolute daily average tracking difference not exceeding 0.2%, and an annualized tracking error not exceeding 2%.</w:t>
      </w:r>
    </w:p>
    <w:p w14:paraId="136763E9" w14:textId="77777777" w:rsidR="0081561B" w:rsidRPr="000D3C71" w:rsidRDefault="00953439" w:rsidP="00503FB4">
      <w:pPr>
        <w:pStyle w:val="af6"/>
        <w:rPr>
          <w:rFonts w:ascii="Arial" w:hAnsi="Arial" w:cs="Arial"/>
        </w:rPr>
      </w:pPr>
      <w:r w:rsidRPr="000D3C71">
        <w:rPr>
          <w:rFonts w:ascii="Arial" w:hAnsi="Arial" w:cs="Arial"/>
          <w:lang w:val="en"/>
        </w:rPr>
        <w:t>The Fund Manager may, in response to market conditions, adjust and update these strategies, with any changes disclosed in an updated Prospectus.</w:t>
      </w:r>
    </w:p>
    <w:p w14:paraId="00709667"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(V) Investment Management Procedures</w:t>
      </w:r>
    </w:p>
    <w:p w14:paraId="7A468CBC"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Fund’s investment management procedures combine research, portfolio construction, trading, performance evaluation, and portfolio rebalancing to ensure disciplined implementation of the investment philosophy and effective risk control.</w:t>
      </w:r>
    </w:p>
    <w:p w14:paraId="7F9205A6"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1. Research: The portfolio manager team and research personnel, leveraging the company’s comprehensive research platform and external sources such as brokers, collect and analyze information on index tracking, corporate actions of constituent securities, substitute analysis, liquidity analysis, error attribution, and derivatives analysis. They prepare research reports as a key basis for investment decision-making.</w:t>
      </w:r>
    </w:p>
    <w:p w14:paraId="1FEFB8B4"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2. Portfolio Construction: Based on the Underlying Index and research findings, the fund manager team constructs the portfolio by replicating the weights of the constituent securities and using other reasonable methods. While minimizing tracking error and tracking difference, the team aims to reduce transaction costs and control investment risk.</w:t>
      </w:r>
    </w:p>
    <w:p w14:paraId="4A8D8D8F"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3. Trading Execution: The Trading Management Department executes transactions and conducts first-line monitoring of trading activities.</w:t>
      </w:r>
    </w:p>
    <w:p w14:paraId="337C7B52"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4. Investment Performance Evaluation: The Risk Management Department conducts regular or ad hoc evaluations of investment performance and produces related analytical reports. Performance evaluations verify whether portfolio returns align with objectives, identify sources of tracking error, and assess the success of investment strategies. Based on these evaluations, the fund manager team may review and adjust portfolio strategies.</w:t>
      </w:r>
    </w:p>
    <w:p w14:paraId="4993C07F"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5. Portfolio Rebalancing: The fund manager team monitors changes in the Underlying Index and, considering the fundamentals and liquidity of constituent securities, creations and redemptions, and performance results, adjusts the portfolio to ensure close tracking of the Underlying Index.</w:t>
      </w:r>
    </w:p>
    <w:p w14:paraId="444C9B75" w14:textId="77777777" w:rsidR="0081561B" w:rsidRPr="000D3C71" w:rsidRDefault="00953439" w:rsidP="00503FB4">
      <w:pPr>
        <w:pStyle w:val="af6"/>
        <w:rPr>
          <w:rFonts w:ascii="Arial" w:hAnsi="Arial" w:cs="Arial"/>
        </w:rPr>
      </w:pPr>
      <w:r w:rsidRPr="000D3C71">
        <w:rPr>
          <w:rFonts w:ascii="Arial" w:hAnsi="Arial" w:cs="Arial"/>
          <w:lang w:val="en"/>
        </w:rPr>
        <w:t>The Fund Manager may, as needed, modify the above procedures based on environmental or operational changes, with such modifications disclosed in updates to the Fund Prospectus.</w:t>
      </w:r>
    </w:p>
    <w:p w14:paraId="49F4B0BE"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(VI) Performance Benchmark</w:t>
      </w:r>
    </w:p>
    <w:p w14:paraId="4B2D4FAD"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Fund’s performance benchmark is the Underlying Index.</w:t>
      </w:r>
    </w:p>
    <w:p w14:paraId="245673D8"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If the Underlying Index changes, the performance benchmark shall be adjusted accordingly. The Fund Manager may modify the composition or weighting of the benchmark to reflect investment practices and market conventions without convening a meeting of Fund Unitholders, provided that it obtains the Fund Custodian’s consent and files with the CSRC.</w:t>
      </w:r>
    </w:p>
    <w:p w14:paraId="23A6F0B3"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(VII) Risk–Return Profile</w:t>
      </w:r>
    </w:p>
    <w:p w14:paraId="566CC497" w14:textId="77777777" w:rsidR="0081561B" w:rsidRPr="000D3C71" w:rsidRDefault="00953439" w:rsidP="00503FB4">
      <w:pPr>
        <w:pStyle w:val="affd"/>
        <w:spacing w:line="360" w:lineRule="auto"/>
        <w:ind w:firstLineChars="200" w:firstLine="420"/>
        <w:rPr>
          <w:rFonts w:ascii="Arial" w:hAnsi="Arial" w:cs="Arial"/>
          <w:szCs w:val="21"/>
          <w:u w:val="single"/>
        </w:rPr>
      </w:pPr>
      <w:r w:rsidRPr="000D3C71">
        <w:rPr>
          <w:rFonts w:ascii="Arial" w:hAnsi="Arial" w:cs="Arial"/>
          <w:lang w:val="en"/>
        </w:rPr>
        <w:t>This Fund is an equity fund. Its risk and return are higher than those of hybrid funds, bond funds, and money market funds. As it primarily invests in the constituent securities and alternate constituent securities of the Underlying Index, it is considered a high-risk, high-return product among equity funds.</w:t>
      </w:r>
    </w:p>
    <w:p w14:paraId="25BEAC39"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(VIII) Investment Restrictions</w:t>
      </w:r>
    </w:p>
    <w:p w14:paraId="1EE1D89B"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1. Portfolio Restrictions</w:t>
      </w:r>
    </w:p>
    <w:p w14:paraId="593F7A3D"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The Fund’s portfolio shall comply with the following restrictions:</w:t>
      </w:r>
    </w:p>
    <w:p w14:paraId="73415E62"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(1) The total market value of all warrants held by the Fund shall not exceed 3% of the Fund’s NAV. All funds managed by the Fund Manager shall not hold more than 10% of any single warrant issue. The total amount used for warrant purchases on any trading day shall not exceed 0.5% of the Fund’s NAV as of the previous trading day. Where laws, regulations, or the CSRC prescribe otherwise, such provisions shall prevail.</w:t>
      </w:r>
    </w:p>
    <w:p w14:paraId="2DCEC8D8" w14:textId="77777777" w:rsidR="00EB6125"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(2) The Fund’s investment in all types of asset-backed securities issued by a single originator shall not exceed 10% of the Fund’s NAV; the total market value of all asset-backed securities held shall not exceed 20% of the Fund’s NAV; the Fund’s investment in any single asset-backed security (of the same credit rating) shall not exceed 10% of the size of that issue; all funds under management by the Fund Manager shall not in aggregate invest more than 10% of the total issuance of all types of asset-backed securities from the same originator.</w:t>
      </w:r>
    </w:p>
    <w:p w14:paraId="70FBC807"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(3) The Fund shall invest only in asset-backed securities rated BBB or above. If any such security is downgraded below this threshold, it must be fully sold within three months of the downgrade report.</w:t>
      </w:r>
    </w:p>
    <w:p w14:paraId="0635B247" w14:textId="77777777" w:rsidR="00C204C3"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(4) When participating in equity subscriptions, the Fund’s subscription amount shall not exceed its Total Asset Value, and the number of shares subscribed shall not exceed the total number offered in the issuance.</w:t>
      </w:r>
    </w:p>
    <w:p w14:paraId="5504F97A" w14:textId="77777777" w:rsidR="00C204C3"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(5) The balance of funds used for bond repurchase agreements in the national interbank market shall not exceed 40% of the Fund’s NAV.</w:t>
      </w:r>
    </w:p>
    <w:p w14:paraId="3AE39330"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lang w:val="en"/>
        </w:rPr>
        <w:t>(6) At the close of any trading day, the value of long stock index futures positions shall not exceed 10% of the Fund’s NAV; the sum of the market value of long futures positions and securities shall not exceed 100% of the Fund’s NAV. “Securities” include stocks, bonds (excluding Treasury securities maturing within one year), warrants, asset-backed securities, financial assets bought under resale agreements (excluding pledged repos), etc. At the close of any trading day, the value of short futures positions shall not exceed 20% of the market value of the Fund's equity holdings; the notional value of all stock index futures contracts traded (excluding closeouts) on any trading day shall not exceed 20% of the Fund’s NAV on the previous trading day. Each day, after deducting required margin, the Fund shall maintain a cash balance of no less than an amount equal to the required margin. The combined market value (net basis) of the Fund’s equities and futures positions shall not exceed 100% of its NAV.</w:t>
      </w:r>
    </w:p>
    <w:p w14:paraId="4792786C" w14:textId="77777777" w:rsidR="00EB6125"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(7) The aggregate market value of restricted-liquidity assets actively held shall not exceed 15% of the Fund’s NAV. If non-compliance with this limit arises due to factors beyond the Fund Manager’s control—such as market fluctuations, share suspensions, or Fund size changes—the Fund Manager shall not actively make additional investments in restricted-liquidity assets.</w:t>
      </w:r>
    </w:p>
    <w:p w14:paraId="592294DC" w14:textId="77777777" w:rsidR="00EB6125"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(8) When engaging in reverse repurchase transactions with private securities asset management products or other entities recognized by the CSRC, the collateral eligibility criteria shall be consistent with the investment scope stipulated in the Fund Contract.</w:t>
      </w:r>
    </w:p>
    <w:p w14:paraId="1EB59CA8" w14:textId="77777777" w:rsidR="00A85B1E"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(9) Limits applicable to domestic equities shall also apply to investments in depositary receipts, which shall be aggregated with domestic equity holdings for compliance purposes.</w:t>
      </w:r>
    </w:p>
    <w:p w14:paraId="38479F9D"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(10) Other ratio restrictions as specified by laws, regulations, or the Fund Contract.</w:t>
      </w:r>
    </w:p>
    <w:p w14:paraId="2EC327EC"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Except as otherwise provided in (3), (7), and (8), if non-compliance with the above ratios arises due to external factors—such as market fluctuations, corporate actions, Fund size changes, adjustments to index constituents, or liquidity constraints—the Fund Manager shall restore compliance within ten trading days.</w:t>
      </w:r>
    </w:p>
    <w:p w14:paraId="0FDF5311"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The Fund Manager shall ensure that the Fund’s portfolio ratios comply with the Fund Contract within six months from the Fund Contract Effective Date. The Fund Custodian’s supervision shall begin on the same date.</w:t>
      </w:r>
    </w:p>
    <w:p w14:paraId="05826DD9"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If laws, regulations, or regulatory authorities modify or abolish the above restrictions and such changes are applicable to the Fund, the Fund's investments will no longer be subject to the relevant restrictions once the Fund Manager has completed the appropriate procedures.</w:t>
      </w:r>
    </w:p>
    <w:p w14:paraId="77BCD9EC"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2. Prohibited Activities</w:t>
      </w:r>
    </w:p>
    <w:p w14:paraId="23012680" w14:textId="77777777" w:rsidR="00016BA7" w:rsidRPr="000D3C71" w:rsidRDefault="00953439" w:rsidP="00503FB4">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To safeguard the lawful rights and interests of Fund Unitholders, the Fund Property shall not be used for the following activities:</w:t>
      </w:r>
    </w:p>
    <w:p w14:paraId="7E2EC866" w14:textId="77777777" w:rsidR="00016BA7" w:rsidRPr="000D3C71" w:rsidRDefault="00953439" w:rsidP="00503FB4">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(1) Underwriting securities.</w:t>
      </w:r>
    </w:p>
    <w:p w14:paraId="63CAF154" w14:textId="77777777" w:rsidR="00016BA7" w:rsidRPr="000D3C71" w:rsidRDefault="00953439" w:rsidP="00503FB4">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(2) Providing loans or guarantees in violation of laws or regulations;</w:t>
      </w:r>
    </w:p>
    <w:p w14:paraId="7B992284" w14:textId="77777777" w:rsidR="00016BA7" w:rsidRPr="000D3C71" w:rsidRDefault="00953439" w:rsidP="00503FB4">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(3) Engaging in investments involving unlimited liability.</w:t>
      </w:r>
    </w:p>
    <w:p w14:paraId="3CCE1D96" w14:textId="77777777" w:rsidR="00016BA7" w:rsidRPr="000D3C71" w:rsidRDefault="00953439" w:rsidP="00503FB4">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 xml:space="preserve">(4) Buying or selling units of other funds, except as otherwise stipulated by the securities regulatory authority under the State Council. </w:t>
      </w:r>
    </w:p>
    <w:p w14:paraId="4A51D23E" w14:textId="77777777" w:rsidR="00016BA7" w:rsidRPr="000D3C71" w:rsidRDefault="00953439" w:rsidP="00503FB4">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(5) Making capital contributions to the Fund Manager or the Fund Custodian.</w:t>
      </w:r>
    </w:p>
    <w:p w14:paraId="3FFB6AB1" w14:textId="77777777" w:rsidR="00016BA7" w:rsidRPr="000D3C71" w:rsidRDefault="00953439" w:rsidP="00503FB4">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 xml:space="preserve">(6) Engaging in insider trading, manipulating securities prices, or other improper securities trading activities. </w:t>
      </w:r>
    </w:p>
    <w:p w14:paraId="2B38DDCC" w14:textId="77777777" w:rsidR="00016BA7" w:rsidRPr="000D3C71" w:rsidRDefault="00953439" w:rsidP="00503FB4">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(7) Engaging in other activities prohibited by laws, administrative regulations, or the securities regulator under the State Council.</w:t>
      </w:r>
    </w:p>
    <w:p w14:paraId="3FA19840" w14:textId="77777777" w:rsidR="003A2469" w:rsidRPr="000D3C71" w:rsidRDefault="00953439" w:rsidP="00503FB4">
      <w:pPr>
        <w:pStyle w:val="affd"/>
        <w:autoSpaceDE w:val="0"/>
        <w:autoSpaceDN w:val="0"/>
        <w:adjustRightInd w:val="0"/>
        <w:spacing w:line="360" w:lineRule="auto"/>
        <w:ind w:firstLineChars="200" w:firstLine="420"/>
        <w:rPr>
          <w:rFonts w:ascii="Arial" w:hAnsi="Arial" w:cs="Arial"/>
          <w:bCs/>
          <w:szCs w:val="21"/>
        </w:rPr>
      </w:pPr>
      <w:r w:rsidRPr="000D3C71">
        <w:rPr>
          <w:rFonts w:ascii="Arial" w:hAnsi="Arial" w:cs="Arial"/>
          <w:lang w:val="en"/>
        </w:rPr>
        <w:t>Where laws, regulations, or regulatory authorities abolish or relax the foregoing prohibitions, and such changes are applicable to the Fund, the Fund shall no longer be subject to those restrictions.</w:t>
      </w:r>
    </w:p>
    <w:p w14:paraId="355AB17B" w14:textId="77777777" w:rsidR="0081561B"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(IX) Securities Lending and Margin Trading of the Fund</w:t>
      </w:r>
    </w:p>
    <w:p w14:paraId="73579A8A" w14:textId="77777777" w:rsidR="007C1519"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The Fund may, in accordance with relevant laws, regulations, and regulatory provisions, engage in securities lending and margin trading and participate in CSF Securities Lending, without the need to convene a Fund Unitholders' meeting.</w:t>
      </w:r>
    </w:p>
    <w:p w14:paraId="02D09EB1" w14:textId="77777777" w:rsidR="00177AC5" w:rsidRPr="000D3C71" w:rsidRDefault="00953439" w:rsidP="00503FB4">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 xml:space="preserve">(X) Fund Portfolio Report  </w:t>
      </w:r>
    </w:p>
    <w:p w14:paraId="186497D6" w14:textId="77777777" w:rsidR="00824725" w:rsidRPr="000D3C71" w:rsidRDefault="00953439">
      <w:pPr>
        <w:pStyle w:val="a1"/>
        <w:spacing w:before="0" w:after="0" w:line="360" w:lineRule="auto"/>
        <w:rPr>
          <w:rFonts w:ascii="Arial" w:hAnsi="Arial" w:cs="Arial"/>
          <w:b w:val="0"/>
          <w:sz w:val="21"/>
          <w:szCs w:val="21"/>
        </w:rPr>
      </w:pPr>
      <w:r w:rsidRPr="000D3C71">
        <w:rPr>
          <w:rFonts w:ascii="Arial" w:hAnsi="Arial" w:cs="Arial"/>
          <w:b w:val="0"/>
          <w:bCs w:val="0"/>
          <w:sz w:val="21"/>
          <w:szCs w:val="21"/>
          <w:lang w:val="en"/>
        </w:rPr>
        <w:t xml:space="preserve">    </w:t>
      </w:r>
      <w:bookmarkStart w:id="75" w:name="_Toc211640926"/>
      <w:r w:rsidRPr="000D3C71">
        <w:rPr>
          <w:rFonts w:ascii="Arial" w:hAnsi="Arial" w:cs="Arial"/>
          <w:b w:val="0"/>
          <w:bCs w:val="0"/>
          <w:sz w:val="21"/>
          <w:szCs w:val="21"/>
          <w:lang w:val="en"/>
        </w:rPr>
        <w:t>The following information is excerpted from the Fund’s First Quarter 2025 Report:</w:t>
      </w:r>
      <w:bookmarkEnd w:id="75"/>
    </w:p>
    <w:p w14:paraId="6621B4AC" w14:textId="77777777" w:rsidR="00824725" w:rsidRPr="000D3C71" w:rsidRDefault="00953439">
      <w:pPr>
        <w:pStyle w:val="a1"/>
        <w:spacing w:before="0" w:after="0" w:line="360" w:lineRule="auto"/>
        <w:rPr>
          <w:rFonts w:ascii="Arial" w:hAnsi="Arial" w:cs="Arial"/>
          <w:b w:val="0"/>
          <w:sz w:val="21"/>
          <w:szCs w:val="21"/>
        </w:rPr>
      </w:pPr>
      <w:bookmarkStart w:id="76" w:name="_Toc211640927"/>
      <w:r w:rsidRPr="000D3C71">
        <w:rPr>
          <w:rFonts w:ascii="Arial" w:hAnsi="Arial" w:cs="Arial"/>
          <w:b w:val="0"/>
          <w:bCs w:val="0"/>
          <w:sz w:val="21"/>
          <w:szCs w:val="21"/>
          <w:lang w:val="en"/>
        </w:rPr>
        <w:t>5.1 Portfolio Composition as of the End of the Reporting Period</w:t>
      </w:r>
      <w:bookmarkEnd w:id="76"/>
    </w:p>
    <w:tbl>
      <w:tblPr>
        <w:tblStyle w:val="a7"/>
        <w:tblW w:w="0" w:type="auto"/>
        <w:tblInd w:w="108" w:type="dxa"/>
        <w:tblLayout w:type="fixed"/>
        <w:tblLook w:val="04A0" w:firstRow="1" w:lastRow="0" w:firstColumn="1" w:lastColumn="0" w:noHBand="0" w:noVBand="1"/>
      </w:tblPr>
      <w:tblGrid>
        <w:gridCol w:w="851"/>
        <w:gridCol w:w="3118"/>
        <w:gridCol w:w="2694"/>
        <w:gridCol w:w="1701"/>
      </w:tblGrid>
      <w:tr w:rsidR="00824725" w:rsidRPr="000D3C71" w14:paraId="62260896" w14:textId="77777777">
        <w:tc>
          <w:tcPr>
            <w:tcW w:w="851" w:type="dxa"/>
            <w:vAlign w:val="center"/>
          </w:tcPr>
          <w:p w14:paraId="361D29B7"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No.</w:t>
            </w:r>
          </w:p>
        </w:tc>
        <w:tc>
          <w:tcPr>
            <w:tcW w:w="3118" w:type="dxa"/>
            <w:vAlign w:val="center"/>
          </w:tcPr>
          <w:p w14:paraId="17D6154B"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Item</w:t>
            </w:r>
          </w:p>
        </w:tc>
        <w:tc>
          <w:tcPr>
            <w:tcW w:w="2694" w:type="dxa"/>
            <w:vAlign w:val="center"/>
          </w:tcPr>
          <w:p w14:paraId="0AFBA07C"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Amount (RMB)</w:t>
            </w:r>
          </w:p>
        </w:tc>
        <w:tc>
          <w:tcPr>
            <w:tcW w:w="1701" w:type="dxa"/>
            <w:vAlign w:val="center"/>
          </w:tcPr>
          <w:p w14:paraId="72487E66"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Percentage of the Fund's Total Assets (%)</w:t>
            </w:r>
          </w:p>
        </w:tc>
      </w:tr>
      <w:tr w:rsidR="00824725" w:rsidRPr="000D3C71" w14:paraId="305CF92C" w14:textId="77777777">
        <w:tc>
          <w:tcPr>
            <w:tcW w:w="851" w:type="dxa"/>
            <w:vAlign w:val="center"/>
          </w:tcPr>
          <w:p w14:paraId="6824544E"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1</w:t>
            </w:r>
          </w:p>
        </w:tc>
        <w:tc>
          <w:tcPr>
            <w:tcW w:w="3118" w:type="dxa"/>
            <w:vAlign w:val="center"/>
          </w:tcPr>
          <w:p w14:paraId="54C3312A" w14:textId="77777777" w:rsidR="00824725" w:rsidRPr="000D3C71" w:rsidRDefault="00953439">
            <w:pPr>
              <w:spacing w:before="29" w:line="360" w:lineRule="auto"/>
              <w:ind w:left="17"/>
              <w:rPr>
                <w:rFonts w:ascii="Arial" w:hAnsi="Arial" w:cs="Arial"/>
                <w:color w:val="000000" w:themeColor="text1"/>
              </w:rPr>
            </w:pPr>
            <w:r w:rsidRPr="000D3C71">
              <w:rPr>
                <w:rFonts w:ascii="Arial" w:hAnsi="Arial" w:cs="Arial"/>
                <w:color w:val="000000" w:themeColor="text1"/>
                <w:lang w:val="en"/>
              </w:rPr>
              <w:t>Equity investments</w:t>
            </w:r>
          </w:p>
        </w:tc>
        <w:tc>
          <w:tcPr>
            <w:tcW w:w="2694" w:type="dxa"/>
            <w:vAlign w:val="center"/>
          </w:tcPr>
          <w:p w14:paraId="5F42099F"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158,346,076,718.34</w:t>
            </w:r>
          </w:p>
        </w:tc>
        <w:tc>
          <w:tcPr>
            <w:tcW w:w="1701" w:type="dxa"/>
            <w:vAlign w:val="center"/>
          </w:tcPr>
          <w:p w14:paraId="03781226"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99.60</w:t>
            </w:r>
          </w:p>
        </w:tc>
      </w:tr>
      <w:tr w:rsidR="00824725" w:rsidRPr="000D3C71" w14:paraId="110F4434" w14:textId="77777777">
        <w:tc>
          <w:tcPr>
            <w:tcW w:w="851" w:type="dxa"/>
            <w:vAlign w:val="center"/>
          </w:tcPr>
          <w:p w14:paraId="79CFDDC1" w14:textId="77777777" w:rsidR="00824725" w:rsidRPr="000D3C71" w:rsidRDefault="00824725">
            <w:pPr>
              <w:rPr>
                <w:rFonts w:ascii="Arial" w:hAnsi="Arial" w:cs="Arial"/>
              </w:rPr>
            </w:pPr>
          </w:p>
        </w:tc>
        <w:tc>
          <w:tcPr>
            <w:tcW w:w="3118" w:type="dxa"/>
            <w:vAlign w:val="center"/>
          </w:tcPr>
          <w:p w14:paraId="367B2DF9" w14:textId="77777777" w:rsidR="00824725" w:rsidRPr="000D3C71" w:rsidRDefault="00953439">
            <w:pPr>
              <w:spacing w:before="29" w:line="360" w:lineRule="auto"/>
              <w:ind w:left="17"/>
              <w:rPr>
                <w:rFonts w:ascii="Arial" w:hAnsi="Arial" w:cs="Arial"/>
                <w:color w:val="000000" w:themeColor="text1"/>
              </w:rPr>
            </w:pPr>
            <w:r w:rsidRPr="000D3C71">
              <w:rPr>
                <w:rFonts w:ascii="Arial" w:hAnsi="Arial" w:cs="Arial"/>
                <w:color w:val="000000" w:themeColor="text1"/>
                <w:lang w:val="en"/>
              </w:rPr>
              <w:t>of which: stocks</w:t>
            </w:r>
          </w:p>
        </w:tc>
        <w:tc>
          <w:tcPr>
            <w:tcW w:w="2694" w:type="dxa"/>
            <w:vAlign w:val="center"/>
          </w:tcPr>
          <w:p w14:paraId="2E9F82D9"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158,346,076,718.34</w:t>
            </w:r>
          </w:p>
        </w:tc>
        <w:tc>
          <w:tcPr>
            <w:tcW w:w="1701" w:type="dxa"/>
            <w:vAlign w:val="center"/>
          </w:tcPr>
          <w:p w14:paraId="386B8D0F"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99.60</w:t>
            </w:r>
          </w:p>
        </w:tc>
      </w:tr>
      <w:tr w:rsidR="00824725" w:rsidRPr="000D3C71" w14:paraId="762C591A" w14:textId="77777777">
        <w:tc>
          <w:tcPr>
            <w:tcW w:w="851" w:type="dxa"/>
            <w:vAlign w:val="center"/>
          </w:tcPr>
          <w:p w14:paraId="11B84ADF"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2</w:t>
            </w:r>
          </w:p>
        </w:tc>
        <w:tc>
          <w:tcPr>
            <w:tcW w:w="3118" w:type="dxa"/>
            <w:vAlign w:val="center"/>
          </w:tcPr>
          <w:p w14:paraId="661D0787" w14:textId="77777777" w:rsidR="00824725" w:rsidRPr="000D3C71" w:rsidRDefault="00953439">
            <w:pPr>
              <w:spacing w:before="29" w:line="360" w:lineRule="auto"/>
              <w:ind w:left="17"/>
              <w:rPr>
                <w:rFonts w:ascii="Arial" w:hAnsi="Arial" w:cs="Arial"/>
                <w:color w:val="000000" w:themeColor="text1"/>
              </w:rPr>
            </w:pPr>
            <w:r w:rsidRPr="000D3C71">
              <w:rPr>
                <w:rFonts w:ascii="Arial" w:hAnsi="Arial" w:cs="Arial"/>
                <w:color w:val="000000" w:themeColor="text1"/>
                <w:lang w:val="en"/>
              </w:rPr>
              <w:t>Fund investments</w:t>
            </w:r>
          </w:p>
        </w:tc>
        <w:tc>
          <w:tcPr>
            <w:tcW w:w="2694" w:type="dxa"/>
            <w:vAlign w:val="center"/>
          </w:tcPr>
          <w:p w14:paraId="02B6C0EE"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w:t>
            </w:r>
          </w:p>
        </w:tc>
        <w:tc>
          <w:tcPr>
            <w:tcW w:w="1701" w:type="dxa"/>
            <w:vAlign w:val="center"/>
          </w:tcPr>
          <w:p w14:paraId="381419BE"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52253251" w14:textId="77777777">
        <w:tc>
          <w:tcPr>
            <w:tcW w:w="851" w:type="dxa"/>
            <w:vAlign w:val="center"/>
          </w:tcPr>
          <w:p w14:paraId="1E632B71"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3</w:t>
            </w:r>
          </w:p>
        </w:tc>
        <w:tc>
          <w:tcPr>
            <w:tcW w:w="3118" w:type="dxa"/>
            <w:vAlign w:val="center"/>
          </w:tcPr>
          <w:p w14:paraId="5D863E3A" w14:textId="77777777" w:rsidR="00824725" w:rsidRPr="000D3C71" w:rsidRDefault="00953439">
            <w:pPr>
              <w:spacing w:before="29" w:line="360" w:lineRule="auto"/>
              <w:ind w:left="17"/>
              <w:rPr>
                <w:rFonts w:ascii="Arial" w:hAnsi="Arial" w:cs="Arial"/>
                <w:color w:val="000000" w:themeColor="text1"/>
              </w:rPr>
            </w:pPr>
            <w:r w:rsidRPr="000D3C71">
              <w:rPr>
                <w:rFonts w:ascii="Arial" w:hAnsi="Arial" w:cs="Arial"/>
                <w:color w:val="000000" w:themeColor="text1"/>
                <w:lang w:val="en"/>
              </w:rPr>
              <w:t>Fixed income investments</w:t>
            </w:r>
          </w:p>
        </w:tc>
        <w:tc>
          <w:tcPr>
            <w:tcW w:w="2694" w:type="dxa"/>
            <w:vAlign w:val="center"/>
          </w:tcPr>
          <w:p w14:paraId="020E2F69"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w:t>
            </w:r>
          </w:p>
        </w:tc>
        <w:tc>
          <w:tcPr>
            <w:tcW w:w="1701" w:type="dxa"/>
            <w:vAlign w:val="center"/>
          </w:tcPr>
          <w:p w14:paraId="753D77AE"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4DCE3486" w14:textId="77777777">
        <w:tc>
          <w:tcPr>
            <w:tcW w:w="851" w:type="dxa"/>
            <w:vAlign w:val="center"/>
          </w:tcPr>
          <w:p w14:paraId="780831C0" w14:textId="77777777" w:rsidR="00824725" w:rsidRPr="000D3C71" w:rsidRDefault="00824725">
            <w:pPr>
              <w:rPr>
                <w:rFonts w:ascii="Arial" w:hAnsi="Arial" w:cs="Arial"/>
              </w:rPr>
            </w:pPr>
          </w:p>
        </w:tc>
        <w:tc>
          <w:tcPr>
            <w:tcW w:w="3118" w:type="dxa"/>
            <w:vAlign w:val="center"/>
          </w:tcPr>
          <w:p w14:paraId="6D699B44" w14:textId="77777777" w:rsidR="00824725" w:rsidRPr="000D3C71" w:rsidRDefault="00953439">
            <w:pPr>
              <w:spacing w:before="29" w:line="360" w:lineRule="auto"/>
              <w:ind w:left="17"/>
              <w:rPr>
                <w:rFonts w:ascii="Arial" w:hAnsi="Arial" w:cs="Arial"/>
                <w:color w:val="000000" w:themeColor="text1"/>
              </w:rPr>
            </w:pPr>
            <w:r w:rsidRPr="000D3C71">
              <w:rPr>
                <w:rFonts w:ascii="Arial" w:hAnsi="Arial" w:cs="Arial"/>
                <w:color w:val="000000" w:themeColor="text1"/>
                <w:lang w:val="en"/>
              </w:rPr>
              <w:t>of which: bonds</w:t>
            </w:r>
          </w:p>
        </w:tc>
        <w:tc>
          <w:tcPr>
            <w:tcW w:w="2694" w:type="dxa"/>
            <w:vAlign w:val="center"/>
          </w:tcPr>
          <w:p w14:paraId="07767E1C"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w:t>
            </w:r>
          </w:p>
        </w:tc>
        <w:tc>
          <w:tcPr>
            <w:tcW w:w="1701" w:type="dxa"/>
            <w:vAlign w:val="center"/>
          </w:tcPr>
          <w:p w14:paraId="67D0BC21"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15C0AD50" w14:textId="77777777">
        <w:tc>
          <w:tcPr>
            <w:tcW w:w="851" w:type="dxa"/>
            <w:vAlign w:val="center"/>
          </w:tcPr>
          <w:p w14:paraId="7AC1E027" w14:textId="77777777" w:rsidR="00824725" w:rsidRPr="000D3C71" w:rsidRDefault="00824725">
            <w:pPr>
              <w:rPr>
                <w:rFonts w:ascii="Arial" w:hAnsi="Arial" w:cs="Arial"/>
              </w:rPr>
            </w:pPr>
          </w:p>
        </w:tc>
        <w:tc>
          <w:tcPr>
            <w:tcW w:w="3118" w:type="dxa"/>
            <w:vAlign w:val="center"/>
          </w:tcPr>
          <w:p w14:paraId="7AC13273" w14:textId="77777777" w:rsidR="00824725" w:rsidRPr="000D3C71" w:rsidRDefault="00953439">
            <w:pPr>
              <w:autoSpaceDE w:val="0"/>
              <w:autoSpaceDN w:val="0"/>
              <w:adjustRightInd w:val="0"/>
              <w:spacing w:before="29" w:line="360" w:lineRule="auto"/>
              <w:ind w:left="17" w:firstLineChars="300" w:firstLine="630"/>
              <w:rPr>
                <w:rFonts w:ascii="Arial" w:hAnsi="Arial" w:cs="Arial"/>
                <w:color w:val="000000" w:themeColor="text1"/>
              </w:rPr>
            </w:pPr>
            <w:r w:rsidRPr="000D3C71">
              <w:rPr>
                <w:rFonts w:ascii="Arial" w:hAnsi="Arial" w:cs="Arial"/>
                <w:color w:val="000000" w:themeColor="text1"/>
                <w:lang w:val="en"/>
              </w:rPr>
              <w:t>Asset-backed securities</w:t>
            </w:r>
          </w:p>
        </w:tc>
        <w:tc>
          <w:tcPr>
            <w:tcW w:w="2694" w:type="dxa"/>
            <w:vAlign w:val="center"/>
          </w:tcPr>
          <w:p w14:paraId="60B95066"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w:t>
            </w:r>
          </w:p>
        </w:tc>
        <w:tc>
          <w:tcPr>
            <w:tcW w:w="1701" w:type="dxa"/>
            <w:vAlign w:val="center"/>
          </w:tcPr>
          <w:p w14:paraId="404E452D"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39904D4D" w14:textId="77777777">
        <w:tc>
          <w:tcPr>
            <w:tcW w:w="851" w:type="dxa"/>
            <w:vAlign w:val="center"/>
          </w:tcPr>
          <w:p w14:paraId="1BC58100"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4</w:t>
            </w:r>
          </w:p>
        </w:tc>
        <w:tc>
          <w:tcPr>
            <w:tcW w:w="3118" w:type="dxa"/>
            <w:vAlign w:val="center"/>
          </w:tcPr>
          <w:p w14:paraId="02F2938D" w14:textId="77777777" w:rsidR="00824725" w:rsidRPr="000D3C71" w:rsidRDefault="00953439">
            <w:pPr>
              <w:spacing w:before="29" w:line="360" w:lineRule="auto"/>
              <w:ind w:left="17"/>
              <w:rPr>
                <w:rFonts w:ascii="Arial" w:hAnsi="Arial" w:cs="Arial"/>
                <w:color w:val="000000" w:themeColor="text1"/>
              </w:rPr>
            </w:pPr>
            <w:r w:rsidRPr="000D3C71">
              <w:rPr>
                <w:rFonts w:ascii="Arial" w:hAnsi="Arial" w:cs="Arial"/>
                <w:color w:val="000000" w:themeColor="text1"/>
                <w:lang w:val="en"/>
              </w:rPr>
              <w:t>Precious metals investments</w:t>
            </w:r>
          </w:p>
        </w:tc>
        <w:tc>
          <w:tcPr>
            <w:tcW w:w="2694" w:type="dxa"/>
            <w:vAlign w:val="center"/>
          </w:tcPr>
          <w:p w14:paraId="2F1344B1"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w:t>
            </w:r>
          </w:p>
        </w:tc>
        <w:tc>
          <w:tcPr>
            <w:tcW w:w="1701" w:type="dxa"/>
            <w:vAlign w:val="center"/>
          </w:tcPr>
          <w:p w14:paraId="113F0430"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08F86F13" w14:textId="77777777">
        <w:tc>
          <w:tcPr>
            <w:tcW w:w="851" w:type="dxa"/>
            <w:vAlign w:val="center"/>
          </w:tcPr>
          <w:p w14:paraId="6FF24EB9"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5</w:t>
            </w:r>
          </w:p>
        </w:tc>
        <w:tc>
          <w:tcPr>
            <w:tcW w:w="3118" w:type="dxa"/>
            <w:vAlign w:val="center"/>
          </w:tcPr>
          <w:p w14:paraId="3DC3018C" w14:textId="77777777" w:rsidR="00824725" w:rsidRPr="000D3C71" w:rsidRDefault="00953439">
            <w:pPr>
              <w:spacing w:before="29" w:line="360" w:lineRule="auto"/>
              <w:ind w:left="17"/>
              <w:rPr>
                <w:rFonts w:ascii="Arial" w:hAnsi="Arial" w:cs="Arial"/>
                <w:color w:val="000000" w:themeColor="text1"/>
              </w:rPr>
            </w:pPr>
            <w:r w:rsidRPr="000D3C71">
              <w:rPr>
                <w:rFonts w:ascii="Arial" w:hAnsi="Arial" w:cs="Arial"/>
                <w:color w:val="000000" w:themeColor="text1"/>
                <w:lang w:val="en"/>
              </w:rPr>
              <w:t>Financial derivatives investments</w:t>
            </w:r>
          </w:p>
        </w:tc>
        <w:tc>
          <w:tcPr>
            <w:tcW w:w="2694" w:type="dxa"/>
            <w:vAlign w:val="center"/>
          </w:tcPr>
          <w:p w14:paraId="7D1F38E3"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w:t>
            </w:r>
          </w:p>
        </w:tc>
        <w:tc>
          <w:tcPr>
            <w:tcW w:w="1701" w:type="dxa"/>
            <w:vAlign w:val="center"/>
          </w:tcPr>
          <w:p w14:paraId="31D66549"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7902DC84" w14:textId="77777777">
        <w:tc>
          <w:tcPr>
            <w:tcW w:w="851" w:type="dxa"/>
            <w:vAlign w:val="center"/>
          </w:tcPr>
          <w:p w14:paraId="3DC9DF4E"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6</w:t>
            </w:r>
          </w:p>
        </w:tc>
        <w:tc>
          <w:tcPr>
            <w:tcW w:w="3118" w:type="dxa"/>
            <w:vAlign w:val="center"/>
          </w:tcPr>
          <w:p w14:paraId="04887E0B" w14:textId="77777777" w:rsidR="00824725" w:rsidRPr="000D3C71" w:rsidRDefault="00953439">
            <w:pPr>
              <w:spacing w:before="29" w:line="360" w:lineRule="auto"/>
              <w:ind w:left="17"/>
              <w:rPr>
                <w:rFonts w:ascii="Arial" w:hAnsi="Arial" w:cs="Arial"/>
                <w:color w:val="000000" w:themeColor="text1"/>
              </w:rPr>
            </w:pPr>
            <w:r w:rsidRPr="000D3C71">
              <w:rPr>
                <w:rFonts w:ascii="Arial" w:hAnsi="Arial" w:cs="Arial"/>
                <w:color w:val="000000" w:themeColor="text1"/>
                <w:lang w:val="en"/>
              </w:rPr>
              <w:t>Financial assets purchased under resale agreements</w:t>
            </w:r>
          </w:p>
        </w:tc>
        <w:tc>
          <w:tcPr>
            <w:tcW w:w="2694" w:type="dxa"/>
            <w:vAlign w:val="center"/>
          </w:tcPr>
          <w:p w14:paraId="03582326"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w:t>
            </w:r>
          </w:p>
        </w:tc>
        <w:tc>
          <w:tcPr>
            <w:tcW w:w="1701" w:type="dxa"/>
            <w:vAlign w:val="center"/>
          </w:tcPr>
          <w:p w14:paraId="6749104A"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3EF3ECA8" w14:textId="77777777">
        <w:tc>
          <w:tcPr>
            <w:tcW w:w="851" w:type="dxa"/>
            <w:vAlign w:val="center"/>
          </w:tcPr>
          <w:p w14:paraId="7DD2BAE5" w14:textId="77777777" w:rsidR="00824725" w:rsidRPr="000D3C71" w:rsidRDefault="00824725">
            <w:pPr>
              <w:rPr>
                <w:rFonts w:ascii="Arial" w:hAnsi="Arial" w:cs="Arial"/>
              </w:rPr>
            </w:pPr>
          </w:p>
        </w:tc>
        <w:tc>
          <w:tcPr>
            <w:tcW w:w="3118" w:type="dxa"/>
            <w:vAlign w:val="center"/>
          </w:tcPr>
          <w:p w14:paraId="1858E8A4" w14:textId="77777777" w:rsidR="00824725" w:rsidRPr="000D3C71" w:rsidRDefault="00953439">
            <w:pPr>
              <w:spacing w:before="29" w:line="360" w:lineRule="auto"/>
              <w:ind w:left="17"/>
              <w:rPr>
                <w:rFonts w:ascii="Arial" w:hAnsi="Arial" w:cs="Arial"/>
                <w:color w:val="000000" w:themeColor="text1"/>
              </w:rPr>
            </w:pPr>
            <w:r w:rsidRPr="000D3C71">
              <w:rPr>
                <w:rFonts w:ascii="Arial" w:hAnsi="Arial" w:cs="Arial"/>
                <w:color w:val="000000" w:themeColor="text1"/>
                <w:lang w:val="en"/>
              </w:rPr>
              <w:t>of which: financial assets purchased through buyout repos under agreements to resell</w:t>
            </w:r>
          </w:p>
        </w:tc>
        <w:tc>
          <w:tcPr>
            <w:tcW w:w="2694" w:type="dxa"/>
            <w:vAlign w:val="center"/>
          </w:tcPr>
          <w:p w14:paraId="25E1A263"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w:t>
            </w:r>
          </w:p>
        </w:tc>
        <w:tc>
          <w:tcPr>
            <w:tcW w:w="1701" w:type="dxa"/>
            <w:vAlign w:val="center"/>
          </w:tcPr>
          <w:p w14:paraId="5C1F7C64"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7B6281B6" w14:textId="77777777">
        <w:tc>
          <w:tcPr>
            <w:tcW w:w="851" w:type="dxa"/>
            <w:vAlign w:val="center"/>
          </w:tcPr>
          <w:p w14:paraId="2ECACB30"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7</w:t>
            </w:r>
          </w:p>
        </w:tc>
        <w:tc>
          <w:tcPr>
            <w:tcW w:w="3118" w:type="dxa"/>
            <w:vAlign w:val="center"/>
          </w:tcPr>
          <w:p w14:paraId="34E1C854" w14:textId="77777777" w:rsidR="00824725" w:rsidRPr="000D3C71" w:rsidRDefault="00953439">
            <w:pPr>
              <w:spacing w:before="29" w:line="360" w:lineRule="auto"/>
              <w:ind w:left="17"/>
              <w:rPr>
                <w:rFonts w:ascii="Arial" w:hAnsi="Arial" w:cs="Arial"/>
                <w:color w:val="000000" w:themeColor="text1"/>
              </w:rPr>
            </w:pPr>
            <w:r w:rsidRPr="000D3C71">
              <w:rPr>
                <w:rFonts w:ascii="Arial" w:hAnsi="Arial" w:cs="Arial"/>
                <w:color w:val="000000" w:themeColor="text1"/>
                <w:lang w:val="en"/>
              </w:rPr>
              <w:t>Bank deposits and settlement reserves</w:t>
            </w:r>
          </w:p>
        </w:tc>
        <w:tc>
          <w:tcPr>
            <w:tcW w:w="2694" w:type="dxa"/>
            <w:vAlign w:val="center"/>
          </w:tcPr>
          <w:p w14:paraId="54CF1AD4"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507,079,476.86</w:t>
            </w:r>
          </w:p>
        </w:tc>
        <w:tc>
          <w:tcPr>
            <w:tcW w:w="1701" w:type="dxa"/>
            <w:vAlign w:val="center"/>
          </w:tcPr>
          <w:p w14:paraId="28450877" w14:textId="77777777" w:rsidR="00824725" w:rsidRPr="000D3C71" w:rsidRDefault="00953439">
            <w:pPr>
              <w:spacing w:before="29" w:line="360" w:lineRule="auto"/>
              <w:ind w:left="17"/>
              <w:jc w:val="right"/>
              <w:rPr>
                <w:rFonts w:ascii="Arial" w:hAnsi="Arial" w:cs="Arial"/>
                <w:color w:val="000000" w:themeColor="text1"/>
              </w:rPr>
            </w:pPr>
            <w:r w:rsidRPr="000D3C71">
              <w:rPr>
                <w:rFonts w:ascii="Arial" w:hAnsi="Arial" w:cs="Arial"/>
                <w:color w:val="000000" w:themeColor="text1"/>
                <w:lang w:val="en"/>
              </w:rPr>
              <w:t>0.32</w:t>
            </w:r>
          </w:p>
        </w:tc>
      </w:tr>
      <w:tr w:rsidR="00824725" w:rsidRPr="000D3C71" w14:paraId="2842DC9D" w14:textId="77777777">
        <w:tc>
          <w:tcPr>
            <w:tcW w:w="851" w:type="dxa"/>
            <w:vAlign w:val="center"/>
          </w:tcPr>
          <w:p w14:paraId="0D172412"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8</w:t>
            </w:r>
          </w:p>
        </w:tc>
        <w:tc>
          <w:tcPr>
            <w:tcW w:w="3118" w:type="dxa"/>
            <w:vAlign w:val="center"/>
          </w:tcPr>
          <w:p w14:paraId="4BCF913E" w14:textId="77777777" w:rsidR="00824725" w:rsidRPr="000D3C71" w:rsidRDefault="00953439">
            <w:pPr>
              <w:rPr>
                <w:rFonts w:ascii="Arial" w:hAnsi="Arial" w:cs="Arial"/>
                <w:color w:val="000000" w:themeColor="text1"/>
              </w:rPr>
            </w:pPr>
            <w:r w:rsidRPr="000D3C71">
              <w:rPr>
                <w:rFonts w:ascii="Arial" w:hAnsi="Arial" w:cs="Arial"/>
                <w:color w:val="000000" w:themeColor="text1"/>
                <w:lang w:val="en"/>
              </w:rPr>
              <w:t>Other assets</w:t>
            </w:r>
          </w:p>
        </w:tc>
        <w:tc>
          <w:tcPr>
            <w:tcW w:w="2694" w:type="dxa"/>
            <w:vAlign w:val="center"/>
          </w:tcPr>
          <w:p w14:paraId="7503D508"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124,475,091.30</w:t>
            </w:r>
          </w:p>
        </w:tc>
        <w:tc>
          <w:tcPr>
            <w:tcW w:w="1701" w:type="dxa"/>
            <w:vAlign w:val="center"/>
          </w:tcPr>
          <w:p w14:paraId="2F10881F"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0.08</w:t>
            </w:r>
          </w:p>
        </w:tc>
      </w:tr>
      <w:tr w:rsidR="00824725" w:rsidRPr="000D3C71" w14:paraId="5AC2692C" w14:textId="77777777">
        <w:tc>
          <w:tcPr>
            <w:tcW w:w="851" w:type="dxa"/>
            <w:vAlign w:val="center"/>
          </w:tcPr>
          <w:p w14:paraId="28163439"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9</w:t>
            </w:r>
          </w:p>
        </w:tc>
        <w:tc>
          <w:tcPr>
            <w:tcW w:w="3118" w:type="dxa"/>
            <w:vAlign w:val="center"/>
          </w:tcPr>
          <w:p w14:paraId="76DE4998" w14:textId="77777777" w:rsidR="00824725" w:rsidRPr="000D3C71" w:rsidRDefault="00953439">
            <w:pPr>
              <w:rPr>
                <w:rFonts w:ascii="Arial" w:hAnsi="Arial" w:cs="Arial"/>
                <w:color w:val="000000" w:themeColor="text1"/>
              </w:rPr>
            </w:pPr>
            <w:r w:rsidRPr="000D3C71">
              <w:rPr>
                <w:rFonts w:ascii="Arial" w:hAnsi="Arial" w:cs="Arial"/>
                <w:color w:val="000000" w:themeColor="text1"/>
                <w:lang w:val="en"/>
              </w:rPr>
              <w:t>Total</w:t>
            </w:r>
          </w:p>
        </w:tc>
        <w:tc>
          <w:tcPr>
            <w:tcW w:w="2694" w:type="dxa"/>
            <w:vAlign w:val="center"/>
          </w:tcPr>
          <w:p w14:paraId="48BA32B8"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158,977,631,286.50</w:t>
            </w:r>
          </w:p>
        </w:tc>
        <w:tc>
          <w:tcPr>
            <w:tcW w:w="1701" w:type="dxa"/>
            <w:vAlign w:val="center"/>
          </w:tcPr>
          <w:p w14:paraId="2A38A944"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100.00</w:t>
            </w:r>
          </w:p>
        </w:tc>
      </w:tr>
    </w:tbl>
    <w:p w14:paraId="6F49A428" w14:textId="77777777" w:rsidR="00824725" w:rsidRPr="000D3C71" w:rsidRDefault="00953439">
      <w:pPr>
        <w:pStyle w:val="a0"/>
        <w:spacing w:line="360" w:lineRule="auto"/>
        <w:ind w:firstLine="420"/>
        <w:jc w:val="left"/>
        <w:rPr>
          <w:rFonts w:ascii="Arial" w:hAnsi="Arial" w:cs="Arial"/>
          <w:szCs w:val="21"/>
        </w:rPr>
      </w:pPr>
      <w:r w:rsidRPr="000D3C71">
        <w:rPr>
          <w:rFonts w:ascii="Arial" w:hAnsi="Arial" w:cs="Arial"/>
          <w:szCs w:val="21"/>
          <w:lang w:val="en"/>
        </w:rPr>
        <w:t>Note: The fair value of equity investments includes valuation gains on refundable cash-in-lieu amounts.</w:t>
      </w:r>
    </w:p>
    <w:p w14:paraId="772B974D" w14:textId="77777777" w:rsidR="00824725" w:rsidRPr="000D3C71" w:rsidRDefault="00953439">
      <w:pPr>
        <w:pStyle w:val="a1"/>
        <w:spacing w:before="0" w:after="0" w:line="360" w:lineRule="auto"/>
        <w:rPr>
          <w:rFonts w:ascii="Arial" w:hAnsi="Arial" w:cs="Arial"/>
          <w:b w:val="0"/>
          <w:sz w:val="21"/>
          <w:szCs w:val="21"/>
        </w:rPr>
      </w:pPr>
      <w:bookmarkStart w:id="77" w:name="_Toc211640928"/>
      <w:r w:rsidRPr="000D3C71">
        <w:rPr>
          <w:rFonts w:ascii="Arial" w:hAnsi="Arial" w:cs="Arial"/>
          <w:b w:val="0"/>
          <w:bCs w:val="0"/>
          <w:sz w:val="21"/>
          <w:szCs w:val="21"/>
          <w:lang w:val="en"/>
        </w:rPr>
        <w:t>5.2 Stock Portfolio by Industry as of the End of the Reporting Period</w:t>
      </w:r>
      <w:bookmarkEnd w:id="77"/>
    </w:p>
    <w:p w14:paraId="5E586014" w14:textId="77777777" w:rsidR="00824725" w:rsidRPr="000D3C71" w:rsidRDefault="00953439">
      <w:pPr>
        <w:pStyle w:val="a1"/>
        <w:spacing w:before="0" w:after="0" w:line="360" w:lineRule="auto"/>
        <w:rPr>
          <w:rFonts w:ascii="Arial" w:hAnsi="Arial" w:cs="Arial"/>
          <w:b w:val="0"/>
          <w:sz w:val="21"/>
          <w:szCs w:val="21"/>
        </w:rPr>
      </w:pPr>
      <w:bookmarkStart w:id="78" w:name="_Toc211640929"/>
      <w:r w:rsidRPr="000D3C71">
        <w:rPr>
          <w:rFonts w:ascii="Arial" w:hAnsi="Arial" w:cs="Arial"/>
          <w:b w:val="0"/>
          <w:bCs w:val="0"/>
          <w:sz w:val="21"/>
          <w:szCs w:val="21"/>
          <w:lang w:val="en"/>
        </w:rPr>
        <w:t>5.2.1 Domestic Stock Portfolio by Industry as of the End of the Reporting Period</w:t>
      </w:r>
      <w:bookmarkEnd w:id="78"/>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3"/>
        <w:gridCol w:w="3691"/>
        <w:gridCol w:w="2187"/>
        <w:gridCol w:w="1843"/>
      </w:tblGrid>
      <w:tr w:rsidR="00824725" w:rsidRPr="000D3C71" w14:paraId="7918912D" w14:textId="77777777">
        <w:trPr>
          <w:trHeight w:val="390"/>
        </w:trPr>
        <w:tc>
          <w:tcPr>
            <w:tcW w:w="643" w:type="dxa"/>
            <w:tcBorders>
              <w:top w:val="single" w:sz="4" w:space="0" w:color="000000"/>
              <w:left w:val="single" w:sz="4" w:space="0" w:color="000000"/>
              <w:bottom w:val="single" w:sz="4" w:space="0" w:color="000000"/>
              <w:right w:val="single" w:sz="4" w:space="0" w:color="000000"/>
            </w:tcBorders>
            <w:vAlign w:val="center"/>
          </w:tcPr>
          <w:p w14:paraId="7F6AC9E3"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Ticker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ECFF583"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Industry</w:t>
            </w:r>
          </w:p>
        </w:tc>
        <w:tc>
          <w:tcPr>
            <w:tcW w:w="2187" w:type="dxa"/>
            <w:tcBorders>
              <w:top w:val="single" w:sz="4" w:space="0" w:color="000000"/>
              <w:left w:val="single" w:sz="4" w:space="0" w:color="auto"/>
              <w:bottom w:val="single" w:sz="4" w:space="0" w:color="000000"/>
              <w:right w:val="single" w:sz="4" w:space="0" w:color="000000"/>
            </w:tcBorders>
            <w:vAlign w:val="center"/>
          </w:tcPr>
          <w:p w14:paraId="4B0A79BB"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Fair Value (RMB)</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BECDE49"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Percentage of NAV of the Fund (%)</w:t>
            </w:r>
          </w:p>
        </w:tc>
      </w:tr>
      <w:tr w:rsidR="00824725" w:rsidRPr="000D3C71" w14:paraId="0EEB2AC6"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E865286"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218BD2A"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Agriculture</w:t>
            </w:r>
          </w:p>
        </w:tc>
        <w:tc>
          <w:tcPr>
            <w:tcW w:w="2187" w:type="dxa"/>
            <w:tcBorders>
              <w:top w:val="single" w:sz="4" w:space="0" w:color="000000"/>
              <w:left w:val="single" w:sz="4" w:space="0" w:color="auto"/>
              <w:bottom w:val="single" w:sz="4" w:space="0" w:color="000000"/>
              <w:right w:val="single" w:sz="4" w:space="0" w:color="000000"/>
            </w:tcBorders>
            <w:vAlign w:val="center"/>
          </w:tcPr>
          <w:p w14:paraId="4A1DCFF8" w14:textId="77777777" w:rsidR="00824725" w:rsidRPr="000D3C71" w:rsidRDefault="00953439">
            <w:pPr>
              <w:autoSpaceDE w:val="0"/>
              <w:autoSpaceDN w:val="0"/>
              <w:adjustRightInd w:val="0"/>
              <w:spacing w:before="29" w:line="360" w:lineRule="auto"/>
              <w:ind w:left="15"/>
              <w:jc w:val="right"/>
              <w:rPr>
                <w:rFonts w:ascii="Arial" w:hAnsi="Arial" w:cs="Arial"/>
                <w:color w:val="000000" w:themeColor="text1"/>
              </w:rPr>
            </w:pPr>
            <w:r w:rsidRPr="000D3C71">
              <w:rPr>
                <w:rFonts w:ascii="Arial" w:hAnsi="Arial" w:cs="Arial"/>
                <w:color w:val="000000" w:themeColor="text1"/>
                <w:lang w:val="en"/>
              </w:rPr>
              <w:t>1,509,608,797.15</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4C04385" w14:textId="77777777" w:rsidR="00824725" w:rsidRPr="000D3C71" w:rsidRDefault="00953439">
            <w:pPr>
              <w:autoSpaceDE w:val="0"/>
              <w:autoSpaceDN w:val="0"/>
              <w:adjustRightInd w:val="0"/>
              <w:spacing w:before="29" w:line="360" w:lineRule="auto"/>
              <w:ind w:left="15"/>
              <w:jc w:val="right"/>
              <w:rPr>
                <w:rFonts w:ascii="Arial" w:hAnsi="Arial" w:cs="Arial"/>
                <w:color w:val="000000" w:themeColor="text1"/>
              </w:rPr>
            </w:pPr>
            <w:r w:rsidRPr="000D3C71">
              <w:rPr>
                <w:rFonts w:ascii="Arial" w:hAnsi="Arial" w:cs="Arial"/>
                <w:color w:val="000000" w:themeColor="text1"/>
                <w:lang w:val="en"/>
              </w:rPr>
              <w:t>0.95</w:t>
            </w:r>
          </w:p>
        </w:tc>
      </w:tr>
      <w:tr w:rsidR="00824725" w:rsidRPr="000D3C71" w14:paraId="6CD511EC"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ED49F4E"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6DF06812"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Mining</w:t>
            </w:r>
          </w:p>
        </w:tc>
        <w:tc>
          <w:tcPr>
            <w:tcW w:w="2187" w:type="dxa"/>
            <w:tcBorders>
              <w:top w:val="single" w:sz="4" w:space="0" w:color="000000"/>
              <w:left w:val="single" w:sz="4" w:space="0" w:color="auto"/>
              <w:bottom w:val="single" w:sz="4" w:space="0" w:color="000000"/>
              <w:right w:val="single" w:sz="4" w:space="0" w:color="000000"/>
            </w:tcBorders>
            <w:vAlign w:val="center"/>
          </w:tcPr>
          <w:p w14:paraId="3AD57ABE"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7,700,746,612.60</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AD29CC6"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4.85</w:t>
            </w:r>
          </w:p>
        </w:tc>
      </w:tr>
      <w:tr w:rsidR="00824725" w:rsidRPr="000D3C71" w14:paraId="59B4F159"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51D7B34"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170C4618"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Manufacturing</w:t>
            </w:r>
          </w:p>
        </w:tc>
        <w:tc>
          <w:tcPr>
            <w:tcW w:w="2187" w:type="dxa"/>
            <w:tcBorders>
              <w:top w:val="single" w:sz="4" w:space="0" w:color="000000"/>
              <w:left w:val="single" w:sz="4" w:space="0" w:color="auto"/>
              <w:bottom w:val="single" w:sz="4" w:space="0" w:color="000000"/>
              <w:right w:val="single" w:sz="4" w:space="0" w:color="000000"/>
            </w:tcBorders>
            <w:vAlign w:val="center"/>
          </w:tcPr>
          <w:p w14:paraId="4CE9D624"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83,739,408,038.93</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1C91199"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52.71</w:t>
            </w:r>
          </w:p>
        </w:tc>
      </w:tr>
      <w:tr w:rsidR="00824725" w:rsidRPr="000D3C71" w14:paraId="4268D5FA"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D9BCA36"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CA93C28"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Production and Supply of Electricity, Heat, Gas and Water</w:t>
            </w:r>
          </w:p>
        </w:tc>
        <w:tc>
          <w:tcPr>
            <w:tcW w:w="2187" w:type="dxa"/>
            <w:tcBorders>
              <w:top w:val="single" w:sz="4" w:space="0" w:color="000000"/>
              <w:left w:val="single" w:sz="4" w:space="0" w:color="auto"/>
              <w:bottom w:val="single" w:sz="4" w:space="0" w:color="000000"/>
              <w:right w:val="single" w:sz="4" w:space="0" w:color="000000"/>
            </w:tcBorders>
            <w:vAlign w:val="center"/>
          </w:tcPr>
          <w:p w14:paraId="73758965"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5,592,393,618.08</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F24D0BD"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3.52</w:t>
            </w:r>
          </w:p>
        </w:tc>
      </w:tr>
      <w:tr w:rsidR="00824725" w:rsidRPr="000D3C71" w14:paraId="10322B11"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AE5A047"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66429011"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Construction</w:t>
            </w:r>
          </w:p>
        </w:tc>
        <w:tc>
          <w:tcPr>
            <w:tcW w:w="2187" w:type="dxa"/>
            <w:tcBorders>
              <w:top w:val="single" w:sz="4" w:space="0" w:color="000000"/>
              <w:left w:val="single" w:sz="4" w:space="0" w:color="auto"/>
              <w:bottom w:val="single" w:sz="4" w:space="0" w:color="000000"/>
              <w:right w:val="single" w:sz="4" w:space="0" w:color="000000"/>
            </w:tcBorders>
            <w:vAlign w:val="center"/>
          </w:tcPr>
          <w:p w14:paraId="229DD8EF"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2,906,596,691.15</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C980CDD"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1.83</w:t>
            </w:r>
          </w:p>
        </w:tc>
      </w:tr>
      <w:tr w:rsidR="00824725" w:rsidRPr="000D3C71" w14:paraId="12DA87CB"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FAAE82A"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A998DEB"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Wholesale and Retail</w:t>
            </w:r>
          </w:p>
        </w:tc>
        <w:tc>
          <w:tcPr>
            <w:tcW w:w="2187" w:type="dxa"/>
            <w:tcBorders>
              <w:top w:val="single" w:sz="4" w:space="0" w:color="000000"/>
              <w:left w:val="single" w:sz="4" w:space="0" w:color="auto"/>
              <w:bottom w:val="single" w:sz="4" w:space="0" w:color="000000"/>
              <w:right w:val="single" w:sz="4" w:space="0" w:color="000000"/>
            </w:tcBorders>
            <w:vAlign w:val="center"/>
          </w:tcPr>
          <w:p w14:paraId="3FE6312F"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410,013,383.80</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CF9B67B"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0.26</w:t>
            </w:r>
          </w:p>
        </w:tc>
      </w:tr>
      <w:tr w:rsidR="00824725" w:rsidRPr="000D3C71" w14:paraId="01E828E4"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4983B01"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F1C8169"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Transportation, Storage, and Postal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439D7023"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5,355,802,719.10</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9E3C423"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3.37</w:t>
            </w:r>
          </w:p>
        </w:tc>
      </w:tr>
      <w:tr w:rsidR="00824725" w:rsidRPr="000D3C71" w14:paraId="7073B195"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27572D1"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EC29A6A"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Accommodation and Catering</w:t>
            </w:r>
          </w:p>
        </w:tc>
        <w:tc>
          <w:tcPr>
            <w:tcW w:w="2187" w:type="dxa"/>
            <w:tcBorders>
              <w:top w:val="single" w:sz="4" w:space="0" w:color="000000"/>
              <w:left w:val="single" w:sz="4" w:space="0" w:color="auto"/>
              <w:bottom w:val="single" w:sz="4" w:space="0" w:color="000000"/>
              <w:right w:val="single" w:sz="4" w:space="0" w:color="000000"/>
            </w:tcBorders>
            <w:vAlign w:val="center"/>
          </w:tcPr>
          <w:p w14:paraId="7AAAA0DB"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EE9F547"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56F7C8BF"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17086A9"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4EAB9AA"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Information Transmission, Software, and IT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6BE19868"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7,518,376,477.80</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8A0AC1E"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4.73</w:t>
            </w:r>
          </w:p>
        </w:tc>
      </w:tr>
      <w:tr w:rsidR="00824725" w:rsidRPr="000D3C71" w14:paraId="24D94CD7"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ADD3D05"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147AEFC4"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Finance</w:t>
            </w:r>
          </w:p>
        </w:tc>
        <w:tc>
          <w:tcPr>
            <w:tcW w:w="2187" w:type="dxa"/>
            <w:tcBorders>
              <w:top w:val="single" w:sz="4" w:space="0" w:color="000000"/>
              <w:left w:val="single" w:sz="4" w:space="0" w:color="auto"/>
              <w:bottom w:val="single" w:sz="4" w:space="0" w:color="000000"/>
              <w:right w:val="single" w:sz="4" w:space="0" w:color="000000"/>
            </w:tcBorders>
            <w:vAlign w:val="center"/>
          </w:tcPr>
          <w:p w14:paraId="4B4CEAEC"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38,790,917,661.05</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0DD4CD4"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24.42</w:t>
            </w:r>
          </w:p>
        </w:tc>
      </w:tr>
      <w:tr w:rsidR="00824725" w:rsidRPr="000D3C71" w14:paraId="7D68FF4B"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F659631"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73FB795"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Real Estate</w:t>
            </w:r>
          </w:p>
        </w:tc>
        <w:tc>
          <w:tcPr>
            <w:tcW w:w="2187" w:type="dxa"/>
            <w:tcBorders>
              <w:top w:val="single" w:sz="4" w:space="0" w:color="000000"/>
              <w:left w:val="single" w:sz="4" w:space="0" w:color="auto"/>
              <w:bottom w:val="single" w:sz="4" w:space="0" w:color="000000"/>
              <w:right w:val="single" w:sz="4" w:space="0" w:color="000000"/>
            </w:tcBorders>
            <w:vAlign w:val="center"/>
          </w:tcPr>
          <w:p w14:paraId="2272AA8B"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1,283,079,530.25</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405610D"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0.81</w:t>
            </w:r>
          </w:p>
        </w:tc>
      </w:tr>
      <w:tr w:rsidR="00824725" w:rsidRPr="000D3C71" w14:paraId="6F121156"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016DCB4"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81DB3FE"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Leasing and Business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368EDF81"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1,330,523,787.60</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221359A"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0.84</w:t>
            </w:r>
          </w:p>
        </w:tc>
      </w:tr>
      <w:tr w:rsidR="00824725" w:rsidRPr="000D3C71" w14:paraId="3F7A9210"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32FF985"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2841EBD"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Scientific Research and Technical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219BEDB6"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1,728,044,619.87</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5FB29AC"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1.09</w:t>
            </w:r>
          </w:p>
        </w:tc>
      </w:tr>
      <w:tr w:rsidR="00824725" w:rsidRPr="000D3C71" w14:paraId="67A87C2D"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C423CEA"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427B353"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Water Conservancy, Environment, and Public Facilities Management</w:t>
            </w:r>
          </w:p>
        </w:tc>
        <w:tc>
          <w:tcPr>
            <w:tcW w:w="2187" w:type="dxa"/>
            <w:tcBorders>
              <w:top w:val="single" w:sz="4" w:space="0" w:color="000000"/>
              <w:left w:val="single" w:sz="4" w:space="0" w:color="auto"/>
              <w:bottom w:val="single" w:sz="4" w:space="0" w:color="000000"/>
              <w:right w:val="single" w:sz="4" w:space="0" w:color="000000"/>
            </w:tcBorders>
            <w:vAlign w:val="center"/>
          </w:tcPr>
          <w:p w14:paraId="32175A95"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4FAE177"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57C36A8D"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5B0C468"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96B9F80"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Residential Services, Repair, and Other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20D2C38C"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0A4A7BA"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2262DE95"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EDB9735"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944D359"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Education</w:t>
            </w:r>
          </w:p>
        </w:tc>
        <w:tc>
          <w:tcPr>
            <w:tcW w:w="2187" w:type="dxa"/>
            <w:tcBorders>
              <w:top w:val="single" w:sz="4" w:space="0" w:color="000000"/>
              <w:left w:val="single" w:sz="4" w:space="0" w:color="auto"/>
              <w:bottom w:val="single" w:sz="4" w:space="0" w:color="000000"/>
              <w:right w:val="single" w:sz="4" w:space="0" w:color="000000"/>
            </w:tcBorders>
            <w:vAlign w:val="center"/>
          </w:tcPr>
          <w:p w14:paraId="706CEA5A"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D67638D"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6BBDDA24"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601C31C"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CA6DFDD"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Health and Social Work</w:t>
            </w:r>
          </w:p>
        </w:tc>
        <w:tc>
          <w:tcPr>
            <w:tcW w:w="2187" w:type="dxa"/>
            <w:tcBorders>
              <w:top w:val="single" w:sz="4" w:space="0" w:color="000000"/>
              <w:left w:val="single" w:sz="4" w:space="0" w:color="auto"/>
              <w:bottom w:val="single" w:sz="4" w:space="0" w:color="000000"/>
              <w:right w:val="single" w:sz="4" w:space="0" w:color="000000"/>
            </w:tcBorders>
            <w:vAlign w:val="center"/>
          </w:tcPr>
          <w:p w14:paraId="38E70132"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480,564,780.96</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125A1D3"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0.30</w:t>
            </w:r>
          </w:p>
        </w:tc>
      </w:tr>
      <w:tr w:rsidR="00824725" w:rsidRPr="000D3C71" w14:paraId="2DEA17E6"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D6683A6"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10D558CA"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Culture, Sports, and Entertainment</w:t>
            </w:r>
          </w:p>
        </w:tc>
        <w:tc>
          <w:tcPr>
            <w:tcW w:w="2187" w:type="dxa"/>
            <w:tcBorders>
              <w:top w:val="single" w:sz="4" w:space="0" w:color="000000"/>
              <w:left w:val="single" w:sz="4" w:space="0" w:color="auto"/>
              <w:bottom w:val="single" w:sz="4" w:space="0" w:color="000000"/>
              <w:right w:val="single" w:sz="4" w:space="0" w:color="000000"/>
            </w:tcBorders>
            <w:vAlign w:val="center"/>
          </w:tcPr>
          <w:p w14:paraId="63BBFCFF"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DE5A4A5"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319A40FF"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8A390C0" w14:textId="77777777" w:rsidR="00824725" w:rsidRPr="000D3C71" w:rsidRDefault="00953439">
            <w:pPr>
              <w:adjustRightInd w:val="0"/>
              <w:snapToGrid w:val="0"/>
              <w:spacing w:line="400" w:lineRule="exact"/>
              <w:jc w:val="center"/>
              <w:rPr>
                <w:rFonts w:ascii="Arial" w:hAnsi="Arial" w:cs="Arial"/>
                <w:color w:val="000000" w:themeColor="text1"/>
              </w:rPr>
            </w:pPr>
            <w:r w:rsidRPr="000D3C71">
              <w:rPr>
                <w:rFonts w:ascii="Arial" w:hAnsi="Arial" w:cs="Arial"/>
                <w:color w:val="000000" w:themeColor="text1"/>
                <w:lang w:val="en"/>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5F4C017"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Conglomerates</w:t>
            </w:r>
          </w:p>
        </w:tc>
        <w:tc>
          <w:tcPr>
            <w:tcW w:w="2187" w:type="dxa"/>
            <w:tcBorders>
              <w:top w:val="single" w:sz="4" w:space="0" w:color="000000"/>
              <w:left w:val="single" w:sz="4" w:space="0" w:color="auto"/>
              <w:bottom w:val="single" w:sz="4" w:space="0" w:color="000000"/>
              <w:right w:val="single" w:sz="4" w:space="0" w:color="000000"/>
            </w:tcBorders>
            <w:vAlign w:val="center"/>
          </w:tcPr>
          <w:p w14:paraId="1979D786"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24DE6C0"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22EC6D4E"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5BC4A30" w14:textId="77777777" w:rsidR="00824725" w:rsidRPr="000D3C71" w:rsidRDefault="00824725">
            <w:pPr>
              <w:rPr>
                <w:rFonts w:ascii="Arial" w:hAnsi="Arial" w:cs="Arial"/>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376B4DC" w14:textId="77777777" w:rsidR="00824725" w:rsidRPr="000D3C71" w:rsidRDefault="00953439">
            <w:pPr>
              <w:adjustRightInd w:val="0"/>
              <w:snapToGrid w:val="0"/>
              <w:spacing w:line="400" w:lineRule="exact"/>
              <w:rPr>
                <w:rFonts w:ascii="Arial" w:hAnsi="Arial" w:cs="Arial"/>
                <w:color w:val="000000" w:themeColor="text1"/>
              </w:rPr>
            </w:pPr>
            <w:r w:rsidRPr="000D3C71">
              <w:rPr>
                <w:rFonts w:ascii="Arial" w:hAnsi="Arial" w:cs="Arial"/>
                <w:color w:val="000000" w:themeColor="text1"/>
                <w:lang w:val="en"/>
              </w:rPr>
              <w:t>Total</w:t>
            </w:r>
          </w:p>
        </w:tc>
        <w:tc>
          <w:tcPr>
            <w:tcW w:w="2187" w:type="dxa"/>
            <w:tcBorders>
              <w:top w:val="single" w:sz="4" w:space="0" w:color="000000"/>
              <w:left w:val="single" w:sz="4" w:space="0" w:color="auto"/>
              <w:bottom w:val="single" w:sz="4" w:space="0" w:color="000000"/>
              <w:right w:val="single" w:sz="4" w:space="0" w:color="000000"/>
            </w:tcBorders>
            <w:vAlign w:val="center"/>
          </w:tcPr>
          <w:p w14:paraId="1C050FDA"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158,346,076,718.34</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93DCCF4" w14:textId="77777777" w:rsidR="00824725" w:rsidRPr="000D3C71" w:rsidRDefault="00953439">
            <w:pPr>
              <w:jc w:val="right"/>
              <w:rPr>
                <w:rFonts w:ascii="Arial" w:hAnsi="Arial" w:cs="Arial"/>
                <w:color w:val="000000" w:themeColor="text1"/>
              </w:rPr>
            </w:pPr>
            <w:r w:rsidRPr="000D3C71">
              <w:rPr>
                <w:rFonts w:ascii="Arial" w:hAnsi="Arial" w:cs="Arial"/>
                <w:color w:val="000000" w:themeColor="text1"/>
                <w:lang w:val="en"/>
              </w:rPr>
              <w:t>99.67</w:t>
            </w:r>
          </w:p>
        </w:tc>
      </w:tr>
    </w:tbl>
    <w:p w14:paraId="632A19CF" w14:textId="77777777" w:rsidR="00824725" w:rsidRPr="000D3C71" w:rsidRDefault="00953439">
      <w:pPr>
        <w:pStyle w:val="a1"/>
        <w:spacing w:before="0" w:after="0" w:line="360" w:lineRule="auto"/>
        <w:rPr>
          <w:rFonts w:ascii="Arial" w:hAnsi="Arial" w:cs="Arial"/>
          <w:b w:val="0"/>
          <w:sz w:val="21"/>
          <w:szCs w:val="21"/>
        </w:rPr>
      </w:pPr>
      <w:bookmarkStart w:id="79" w:name="_Toc211640930"/>
      <w:r w:rsidRPr="000D3C71">
        <w:rPr>
          <w:rFonts w:ascii="Arial" w:hAnsi="Arial" w:cs="Arial"/>
          <w:b w:val="0"/>
          <w:bCs w:val="0"/>
          <w:sz w:val="21"/>
          <w:szCs w:val="21"/>
          <w:lang w:val="en"/>
        </w:rPr>
        <w:t>5.3 Top Ten Stock Holdings by Fair Value as a Percentage of the Fund NAV as of the End of the Reporting Period</w:t>
      </w:r>
      <w:bookmarkEnd w:id="79"/>
    </w:p>
    <w:tbl>
      <w:tblPr>
        <w:tblStyle w:val="a7"/>
        <w:tblW w:w="0" w:type="auto"/>
        <w:tblInd w:w="108" w:type="dxa"/>
        <w:tblLayout w:type="fixed"/>
        <w:tblLook w:val="04A0" w:firstRow="1" w:lastRow="0" w:firstColumn="1" w:lastColumn="0" w:noHBand="0" w:noVBand="1"/>
      </w:tblPr>
      <w:tblGrid>
        <w:gridCol w:w="709"/>
        <w:gridCol w:w="1276"/>
        <w:gridCol w:w="1701"/>
        <w:gridCol w:w="1276"/>
        <w:gridCol w:w="1842"/>
        <w:gridCol w:w="1560"/>
      </w:tblGrid>
      <w:tr w:rsidR="00824725" w:rsidRPr="000D3C71" w14:paraId="22188F37" w14:textId="77777777">
        <w:tc>
          <w:tcPr>
            <w:tcW w:w="709" w:type="dxa"/>
            <w:vAlign w:val="center"/>
          </w:tcPr>
          <w:p w14:paraId="612CF72F"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No.</w:t>
            </w:r>
          </w:p>
        </w:tc>
        <w:tc>
          <w:tcPr>
            <w:tcW w:w="1276" w:type="dxa"/>
            <w:vAlign w:val="center"/>
          </w:tcPr>
          <w:p w14:paraId="1513AFE0"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Stock Code</w:t>
            </w:r>
          </w:p>
        </w:tc>
        <w:tc>
          <w:tcPr>
            <w:tcW w:w="1701" w:type="dxa"/>
            <w:vAlign w:val="center"/>
          </w:tcPr>
          <w:p w14:paraId="2F4EEA22"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Stock Name</w:t>
            </w:r>
          </w:p>
        </w:tc>
        <w:tc>
          <w:tcPr>
            <w:tcW w:w="1276" w:type="dxa"/>
            <w:vAlign w:val="center"/>
          </w:tcPr>
          <w:p w14:paraId="0178F851"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Quantity (Shares)</w:t>
            </w:r>
          </w:p>
        </w:tc>
        <w:tc>
          <w:tcPr>
            <w:tcW w:w="1842" w:type="dxa"/>
            <w:vAlign w:val="center"/>
          </w:tcPr>
          <w:p w14:paraId="18DAE65D" w14:textId="77777777" w:rsidR="00824725" w:rsidRPr="000D3C71" w:rsidRDefault="00953439">
            <w:pPr>
              <w:autoSpaceDE w:val="0"/>
              <w:autoSpaceDN w:val="0"/>
              <w:adjustRightInd w:val="0"/>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Fair Value (RMB)</w:t>
            </w:r>
          </w:p>
        </w:tc>
        <w:tc>
          <w:tcPr>
            <w:tcW w:w="1560" w:type="dxa"/>
            <w:vAlign w:val="center"/>
          </w:tcPr>
          <w:p w14:paraId="20C43456" w14:textId="77777777" w:rsidR="00824725" w:rsidRPr="000D3C71" w:rsidRDefault="00953439">
            <w:pPr>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Percentage of Fund NAV (%)</w:t>
            </w:r>
          </w:p>
        </w:tc>
      </w:tr>
      <w:tr w:rsidR="00824725" w:rsidRPr="000D3C71" w14:paraId="790ED508" w14:textId="77777777">
        <w:tc>
          <w:tcPr>
            <w:tcW w:w="709" w:type="dxa"/>
            <w:vAlign w:val="center"/>
          </w:tcPr>
          <w:p w14:paraId="233AE326" w14:textId="77777777" w:rsidR="00824725" w:rsidRPr="000D3C71" w:rsidRDefault="00953439">
            <w:pPr>
              <w:jc w:val="center"/>
              <w:rPr>
                <w:rFonts w:ascii="Arial" w:hAnsi="Arial" w:cs="Arial"/>
              </w:rPr>
            </w:pPr>
            <w:r w:rsidRPr="000D3C71">
              <w:rPr>
                <w:rFonts w:ascii="Arial" w:hAnsi="Arial" w:cs="Arial"/>
                <w:color w:val="000000" w:themeColor="text1"/>
                <w:lang w:val="en"/>
              </w:rPr>
              <w:t>1</w:t>
            </w:r>
          </w:p>
        </w:tc>
        <w:tc>
          <w:tcPr>
            <w:tcW w:w="1276" w:type="dxa"/>
            <w:vAlign w:val="center"/>
          </w:tcPr>
          <w:p w14:paraId="2528E071" w14:textId="77777777" w:rsidR="00824725" w:rsidRPr="000D3C71" w:rsidRDefault="00953439">
            <w:pPr>
              <w:jc w:val="center"/>
              <w:rPr>
                <w:rFonts w:ascii="Arial" w:hAnsi="Arial" w:cs="Arial"/>
              </w:rPr>
            </w:pPr>
            <w:r w:rsidRPr="000D3C71">
              <w:rPr>
                <w:rFonts w:ascii="Arial" w:hAnsi="Arial" w:cs="Arial"/>
                <w:color w:val="000000" w:themeColor="text1"/>
                <w:lang w:val="en"/>
              </w:rPr>
              <w:t>600519</w:t>
            </w:r>
          </w:p>
        </w:tc>
        <w:tc>
          <w:tcPr>
            <w:tcW w:w="1701" w:type="dxa"/>
            <w:vAlign w:val="center"/>
          </w:tcPr>
          <w:p w14:paraId="2C3710A7" w14:textId="77777777" w:rsidR="00824725" w:rsidRPr="000D3C71" w:rsidRDefault="00953439">
            <w:pPr>
              <w:jc w:val="center"/>
              <w:rPr>
                <w:rFonts w:ascii="Arial" w:hAnsi="Arial" w:cs="Arial"/>
              </w:rPr>
            </w:pPr>
            <w:r w:rsidRPr="000D3C71">
              <w:rPr>
                <w:rFonts w:ascii="Arial" w:hAnsi="Arial" w:cs="Arial"/>
                <w:color w:val="000000" w:themeColor="text1"/>
                <w:lang w:val="en"/>
              </w:rPr>
              <w:t>Kweichow Moutai</w:t>
            </w:r>
          </w:p>
        </w:tc>
        <w:tc>
          <w:tcPr>
            <w:tcW w:w="1276" w:type="dxa"/>
            <w:vAlign w:val="center"/>
          </w:tcPr>
          <w:p w14:paraId="57869E56" w14:textId="77777777" w:rsidR="00824725" w:rsidRPr="000D3C71" w:rsidRDefault="00953439">
            <w:pPr>
              <w:jc w:val="right"/>
              <w:rPr>
                <w:rFonts w:ascii="Arial" w:hAnsi="Arial" w:cs="Arial"/>
              </w:rPr>
            </w:pPr>
            <w:r w:rsidRPr="000D3C71">
              <w:rPr>
                <w:rFonts w:ascii="Arial" w:hAnsi="Arial" w:cs="Arial"/>
                <w:color w:val="000000" w:themeColor="text1"/>
                <w:lang w:val="en"/>
              </w:rPr>
              <w:t>4,874,454</w:t>
            </w:r>
          </w:p>
        </w:tc>
        <w:tc>
          <w:tcPr>
            <w:tcW w:w="1842" w:type="dxa"/>
            <w:vAlign w:val="center"/>
          </w:tcPr>
          <w:p w14:paraId="62752C42" w14:textId="77777777" w:rsidR="00824725" w:rsidRPr="000D3C71" w:rsidRDefault="00953439">
            <w:pPr>
              <w:jc w:val="right"/>
              <w:rPr>
                <w:rFonts w:ascii="Arial" w:hAnsi="Arial" w:cs="Arial"/>
              </w:rPr>
            </w:pPr>
            <w:r w:rsidRPr="000D3C71">
              <w:rPr>
                <w:rFonts w:ascii="Arial" w:hAnsi="Arial" w:cs="Arial"/>
                <w:color w:val="000000" w:themeColor="text1"/>
                <w:lang w:val="en"/>
              </w:rPr>
              <w:t>7,609,022,694.00</w:t>
            </w:r>
          </w:p>
        </w:tc>
        <w:tc>
          <w:tcPr>
            <w:tcW w:w="1560" w:type="dxa"/>
            <w:vAlign w:val="center"/>
          </w:tcPr>
          <w:p w14:paraId="442FCE6C" w14:textId="77777777" w:rsidR="00824725" w:rsidRPr="000D3C71" w:rsidRDefault="00953439">
            <w:pPr>
              <w:jc w:val="right"/>
              <w:rPr>
                <w:rFonts w:ascii="Arial" w:hAnsi="Arial" w:cs="Arial"/>
              </w:rPr>
            </w:pPr>
            <w:r w:rsidRPr="000D3C71">
              <w:rPr>
                <w:rFonts w:ascii="Arial" w:hAnsi="Arial" w:cs="Arial"/>
                <w:color w:val="000000" w:themeColor="text1"/>
                <w:lang w:val="en"/>
              </w:rPr>
              <w:t>4.79</w:t>
            </w:r>
          </w:p>
        </w:tc>
      </w:tr>
      <w:tr w:rsidR="00824725" w:rsidRPr="000D3C71" w14:paraId="2FE373AD" w14:textId="77777777">
        <w:tc>
          <w:tcPr>
            <w:tcW w:w="709" w:type="dxa"/>
            <w:vAlign w:val="center"/>
          </w:tcPr>
          <w:p w14:paraId="490F7EE7" w14:textId="77777777" w:rsidR="00824725" w:rsidRPr="000D3C71" w:rsidRDefault="00953439">
            <w:pPr>
              <w:jc w:val="center"/>
              <w:rPr>
                <w:rFonts w:ascii="Arial" w:hAnsi="Arial" w:cs="Arial"/>
              </w:rPr>
            </w:pPr>
            <w:r w:rsidRPr="000D3C71">
              <w:rPr>
                <w:rFonts w:ascii="Arial" w:hAnsi="Arial" w:cs="Arial"/>
                <w:color w:val="000000" w:themeColor="text1"/>
                <w:lang w:val="en"/>
              </w:rPr>
              <w:t>2</w:t>
            </w:r>
          </w:p>
        </w:tc>
        <w:tc>
          <w:tcPr>
            <w:tcW w:w="1276" w:type="dxa"/>
            <w:vAlign w:val="center"/>
          </w:tcPr>
          <w:p w14:paraId="72844C71" w14:textId="77777777" w:rsidR="00824725" w:rsidRPr="000D3C71" w:rsidRDefault="00953439">
            <w:pPr>
              <w:jc w:val="center"/>
              <w:rPr>
                <w:rFonts w:ascii="Arial" w:hAnsi="Arial" w:cs="Arial"/>
              </w:rPr>
            </w:pPr>
            <w:r w:rsidRPr="000D3C71">
              <w:rPr>
                <w:rFonts w:ascii="Arial" w:hAnsi="Arial" w:cs="Arial"/>
                <w:color w:val="000000" w:themeColor="text1"/>
                <w:lang w:val="en"/>
              </w:rPr>
              <w:t>300750</w:t>
            </w:r>
          </w:p>
        </w:tc>
        <w:tc>
          <w:tcPr>
            <w:tcW w:w="1701" w:type="dxa"/>
            <w:vAlign w:val="center"/>
          </w:tcPr>
          <w:p w14:paraId="587573CD" w14:textId="77777777" w:rsidR="00824725" w:rsidRPr="000D3C71" w:rsidRDefault="00953439">
            <w:pPr>
              <w:jc w:val="center"/>
              <w:rPr>
                <w:rFonts w:ascii="Arial" w:hAnsi="Arial" w:cs="Arial"/>
              </w:rPr>
            </w:pPr>
            <w:r w:rsidRPr="000D3C71">
              <w:rPr>
                <w:rFonts w:ascii="Arial" w:hAnsi="Arial" w:cs="Arial"/>
                <w:color w:val="000000" w:themeColor="text1"/>
                <w:lang w:val="en"/>
              </w:rPr>
              <w:t>CATL</w:t>
            </w:r>
          </w:p>
        </w:tc>
        <w:tc>
          <w:tcPr>
            <w:tcW w:w="1276" w:type="dxa"/>
            <w:vAlign w:val="center"/>
          </w:tcPr>
          <w:p w14:paraId="2CE856EA" w14:textId="77777777" w:rsidR="00824725" w:rsidRPr="000D3C71" w:rsidRDefault="00953439">
            <w:pPr>
              <w:jc w:val="right"/>
              <w:rPr>
                <w:rFonts w:ascii="Arial" w:hAnsi="Arial" w:cs="Arial"/>
              </w:rPr>
            </w:pPr>
            <w:r w:rsidRPr="000D3C71">
              <w:rPr>
                <w:rFonts w:ascii="Arial" w:hAnsi="Arial" w:cs="Arial"/>
                <w:color w:val="000000" w:themeColor="text1"/>
                <w:lang w:val="en"/>
              </w:rPr>
              <w:t>20,497,941</w:t>
            </w:r>
          </w:p>
        </w:tc>
        <w:tc>
          <w:tcPr>
            <w:tcW w:w="1842" w:type="dxa"/>
            <w:vAlign w:val="center"/>
          </w:tcPr>
          <w:p w14:paraId="685B27DF" w14:textId="77777777" w:rsidR="00824725" w:rsidRPr="000D3C71" w:rsidRDefault="00953439">
            <w:pPr>
              <w:jc w:val="right"/>
              <w:rPr>
                <w:rFonts w:ascii="Arial" w:hAnsi="Arial" w:cs="Arial"/>
              </w:rPr>
            </w:pPr>
            <w:r w:rsidRPr="000D3C71">
              <w:rPr>
                <w:rFonts w:ascii="Arial" w:hAnsi="Arial" w:cs="Arial"/>
                <w:color w:val="000000" w:themeColor="text1"/>
                <w:lang w:val="en"/>
              </w:rPr>
              <w:t>5,184,749,196.54</w:t>
            </w:r>
          </w:p>
        </w:tc>
        <w:tc>
          <w:tcPr>
            <w:tcW w:w="1560" w:type="dxa"/>
            <w:vAlign w:val="center"/>
          </w:tcPr>
          <w:p w14:paraId="0C158030" w14:textId="77777777" w:rsidR="00824725" w:rsidRPr="000D3C71" w:rsidRDefault="00953439">
            <w:pPr>
              <w:jc w:val="right"/>
              <w:rPr>
                <w:rFonts w:ascii="Arial" w:hAnsi="Arial" w:cs="Arial"/>
              </w:rPr>
            </w:pPr>
            <w:r w:rsidRPr="000D3C71">
              <w:rPr>
                <w:rFonts w:ascii="Arial" w:hAnsi="Arial" w:cs="Arial"/>
                <w:color w:val="000000" w:themeColor="text1"/>
                <w:lang w:val="en"/>
              </w:rPr>
              <w:t>3.26</w:t>
            </w:r>
          </w:p>
        </w:tc>
      </w:tr>
      <w:tr w:rsidR="00824725" w:rsidRPr="000D3C71" w14:paraId="25CBBC74" w14:textId="77777777">
        <w:tc>
          <w:tcPr>
            <w:tcW w:w="709" w:type="dxa"/>
            <w:vAlign w:val="center"/>
          </w:tcPr>
          <w:p w14:paraId="43D97D34" w14:textId="77777777" w:rsidR="00824725" w:rsidRPr="000D3C71" w:rsidRDefault="00953439">
            <w:pPr>
              <w:jc w:val="center"/>
              <w:rPr>
                <w:rFonts w:ascii="Arial" w:hAnsi="Arial" w:cs="Arial"/>
              </w:rPr>
            </w:pPr>
            <w:r w:rsidRPr="000D3C71">
              <w:rPr>
                <w:rFonts w:ascii="Arial" w:hAnsi="Arial" w:cs="Arial"/>
                <w:color w:val="000000" w:themeColor="text1"/>
                <w:lang w:val="en"/>
              </w:rPr>
              <w:t>3</w:t>
            </w:r>
          </w:p>
        </w:tc>
        <w:tc>
          <w:tcPr>
            <w:tcW w:w="1276" w:type="dxa"/>
            <w:vAlign w:val="center"/>
          </w:tcPr>
          <w:p w14:paraId="09A50711" w14:textId="77777777" w:rsidR="00824725" w:rsidRPr="000D3C71" w:rsidRDefault="00953439">
            <w:pPr>
              <w:jc w:val="center"/>
              <w:rPr>
                <w:rFonts w:ascii="Arial" w:hAnsi="Arial" w:cs="Arial"/>
              </w:rPr>
            </w:pPr>
            <w:r w:rsidRPr="000D3C71">
              <w:rPr>
                <w:rFonts w:ascii="Arial" w:hAnsi="Arial" w:cs="Arial"/>
                <w:color w:val="000000" w:themeColor="text1"/>
                <w:lang w:val="en"/>
              </w:rPr>
              <w:t>601318</w:t>
            </w:r>
          </w:p>
        </w:tc>
        <w:tc>
          <w:tcPr>
            <w:tcW w:w="1701" w:type="dxa"/>
            <w:vAlign w:val="center"/>
          </w:tcPr>
          <w:p w14:paraId="1B0CBC1E" w14:textId="77777777" w:rsidR="00824725" w:rsidRPr="000D3C71" w:rsidRDefault="00953439">
            <w:pPr>
              <w:jc w:val="center"/>
              <w:rPr>
                <w:rFonts w:ascii="Arial" w:hAnsi="Arial" w:cs="Arial"/>
              </w:rPr>
            </w:pPr>
            <w:r w:rsidRPr="000D3C71">
              <w:rPr>
                <w:rFonts w:ascii="Arial" w:hAnsi="Arial" w:cs="Arial"/>
                <w:color w:val="000000" w:themeColor="text1"/>
                <w:lang w:val="en"/>
              </w:rPr>
              <w:t>Ping An</w:t>
            </w:r>
          </w:p>
        </w:tc>
        <w:tc>
          <w:tcPr>
            <w:tcW w:w="1276" w:type="dxa"/>
            <w:vAlign w:val="center"/>
          </w:tcPr>
          <w:p w14:paraId="5299936E" w14:textId="77777777" w:rsidR="00824725" w:rsidRPr="000D3C71" w:rsidRDefault="00953439">
            <w:pPr>
              <w:jc w:val="right"/>
              <w:rPr>
                <w:rFonts w:ascii="Arial" w:hAnsi="Arial" w:cs="Arial"/>
              </w:rPr>
            </w:pPr>
            <w:r w:rsidRPr="000D3C71">
              <w:rPr>
                <w:rFonts w:ascii="Arial" w:hAnsi="Arial" w:cs="Arial"/>
                <w:color w:val="000000" w:themeColor="text1"/>
                <w:lang w:val="en"/>
              </w:rPr>
              <w:t>83,509,954</w:t>
            </w:r>
          </w:p>
        </w:tc>
        <w:tc>
          <w:tcPr>
            <w:tcW w:w="1842" w:type="dxa"/>
            <w:vAlign w:val="center"/>
          </w:tcPr>
          <w:p w14:paraId="68B9B634" w14:textId="77777777" w:rsidR="00824725" w:rsidRPr="000D3C71" w:rsidRDefault="00953439">
            <w:pPr>
              <w:jc w:val="right"/>
              <w:rPr>
                <w:rFonts w:ascii="Arial" w:hAnsi="Arial" w:cs="Arial"/>
              </w:rPr>
            </w:pPr>
            <w:r w:rsidRPr="000D3C71">
              <w:rPr>
                <w:rFonts w:ascii="Arial" w:hAnsi="Arial" w:cs="Arial"/>
                <w:color w:val="000000" w:themeColor="text1"/>
                <w:lang w:val="en"/>
              </w:rPr>
              <w:t>4,311,618,925.02</w:t>
            </w:r>
          </w:p>
        </w:tc>
        <w:tc>
          <w:tcPr>
            <w:tcW w:w="1560" w:type="dxa"/>
            <w:vAlign w:val="center"/>
          </w:tcPr>
          <w:p w14:paraId="378FE187" w14:textId="77777777" w:rsidR="00824725" w:rsidRPr="000D3C71" w:rsidRDefault="00953439">
            <w:pPr>
              <w:jc w:val="right"/>
              <w:rPr>
                <w:rFonts w:ascii="Arial" w:hAnsi="Arial" w:cs="Arial"/>
              </w:rPr>
            </w:pPr>
            <w:r w:rsidRPr="000D3C71">
              <w:rPr>
                <w:rFonts w:ascii="Arial" w:hAnsi="Arial" w:cs="Arial"/>
                <w:color w:val="000000" w:themeColor="text1"/>
                <w:lang w:val="en"/>
              </w:rPr>
              <w:t>2.71</w:t>
            </w:r>
          </w:p>
        </w:tc>
      </w:tr>
      <w:tr w:rsidR="00824725" w:rsidRPr="000D3C71" w14:paraId="20E9F2F1" w14:textId="77777777">
        <w:tc>
          <w:tcPr>
            <w:tcW w:w="709" w:type="dxa"/>
            <w:vAlign w:val="center"/>
          </w:tcPr>
          <w:p w14:paraId="140981C3" w14:textId="77777777" w:rsidR="00824725" w:rsidRPr="000D3C71" w:rsidRDefault="00953439">
            <w:pPr>
              <w:jc w:val="center"/>
              <w:rPr>
                <w:rFonts w:ascii="Arial" w:hAnsi="Arial" w:cs="Arial"/>
              </w:rPr>
            </w:pPr>
            <w:r w:rsidRPr="000D3C71">
              <w:rPr>
                <w:rFonts w:ascii="Arial" w:hAnsi="Arial" w:cs="Arial"/>
                <w:color w:val="000000" w:themeColor="text1"/>
                <w:lang w:val="en"/>
              </w:rPr>
              <w:t>4</w:t>
            </w:r>
          </w:p>
        </w:tc>
        <w:tc>
          <w:tcPr>
            <w:tcW w:w="1276" w:type="dxa"/>
            <w:vAlign w:val="center"/>
          </w:tcPr>
          <w:p w14:paraId="4BC3E497" w14:textId="77777777" w:rsidR="00824725" w:rsidRPr="000D3C71" w:rsidRDefault="00953439">
            <w:pPr>
              <w:jc w:val="center"/>
              <w:rPr>
                <w:rFonts w:ascii="Arial" w:hAnsi="Arial" w:cs="Arial"/>
              </w:rPr>
            </w:pPr>
            <w:r w:rsidRPr="000D3C71">
              <w:rPr>
                <w:rFonts w:ascii="Arial" w:hAnsi="Arial" w:cs="Arial"/>
                <w:color w:val="000000" w:themeColor="text1"/>
                <w:lang w:val="en"/>
              </w:rPr>
              <w:t>600036</w:t>
            </w:r>
          </w:p>
        </w:tc>
        <w:tc>
          <w:tcPr>
            <w:tcW w:w="1701" w:type="dxa"/>
            <w:vAlign w:val="center"/>
          </w:tcPr>
          <w:p w14:paraId="35254B06" w14:textId="77777777" w:rsidR="00824725" w:rsidRPr="000D3C71" w:rsidRDefault="00953439">
            <w:pPr>
              <w:jc w:val="center"/>
              <w:rPr>
                <w:rFonts w:ascii="Arial" w:hAnsi="Arial" w:cs="Arial"/>
              </w:rPr>
            </w:pPr>
            <w:r w:rsidRPr="000D3C71">
              <w:rPr>
                <w:rFonts w:ascii="Arial" w:hAnsi="Arial" w:cs="Arial"/>
                <w:color w:val="000000" w:themeColor="text1"/>
                <w:lang w:val="en"/>
              </w:rPr>
              <w:t>CMB</w:t>
            </w:r>
          </w:p>
        </w:tc>
        <w:tc>
          <w:tcPr>
            <w:tcW w:w="1276" w:type="dxa"/>
            <w:vAlign w:val="center"/>
          </w:tcPr>
          <w:p w14:paraId="72BBFAAC" w14:textId="77777777" w:rsidR="00824725" w:rsidRPr="000D3C71" w:rsidRDefault="00953439">
            <w:pPr>
              <w:jc w:val="right"/>
              <w:rPr>
                <w:rFonts w:ascii="Arial" w:hAnsi="Arial" w:cs="Arial"/>
              </w:rPr>
            </w:pPr>
            <w:r w:rsidRPr="000D3C71">
              <w:rPr>
                <w:rFonts w:ascii="Arial" w:hAnsi="Arial" w:cs="Arial"/>
                <w:color w:val="000000" w:themeColor="text1"/>
                <w:lang w:val="en"/>
              </w:rPr>
              <w:t>96,037,767</w:t>
            </w:r>
          </w:p>
        </w:tc>
        <w:tc>
          <w:tcPr>
            <w:tcW w:w="1842" w:type="dxa"/>
            <w:vAlign w:val="center"/>
          </w:tcPr>
          <w:p w14:paraId="308C7BFE" w14:textId="77777777" w:rsidR="00824725" w:rsidRPr="000D3C71" w:rsidRDefault="00953439">
            <w:pPr>
              <w:jc w:val="right"/>
              <w:rPr>
                <w:rFonts w:ascii="Arial" w:hAnsi="Arial" w:cs="Arial"/>
              </w:rPr>
            </w:pPr>
            <w:r w:rsidRPr="000D3C71">
              <w:rPr>
                <w:rFonts w:ascii="Arial" w:hAnsi="Arial" w:cs="Arial"/>
                <w:color w:val="000000" w:themeColor="text1"/>
                <w:lang w:val="en"/>
              </w:rPr>
              <w:t>4,157,474,933.43</w:t>
            </w:r>
          </w:p>
        </w:tc>
        <w:tc>
          <w:tcPr>
            <w:tcW w:w="1560" w:type="dxa"/>
            <w:vAlign w:val="center"/>
          </w:tcPr>
          <w:p w14:paraId="187D7B25" w14:textId="77777777" w:rsidR="00824725" w:rsidRPr="000D3C71" w:rsidRDefault="00953439">
            <w:pPr>
              <w:jc w:val="right"/>
              <w:rPr>
                <w:rFonts w:ascii="Arial" w:hAnsi="Arial" w:cs="Arial"/>
              </w:rPr>
            </w:pPr>
            <w:r w:rsidRPr="000D3C71">
              <w:rPr>
                <w:rFonts w:ascii="Arial" w:hAnsi="Arial" w:cs="Arial"/>
                <w:color w:val="000000" w:themeColor="text1"/>
                <w:lang w:val="en"/>
              </w:rPr>
              <w:t>2.62</w:t>
            </w:r>
          </w:p>
        </w:tc>
      </w:tr>
      <w:tr w:rsidR="00824725" w:rsidRPr="000D3C71" w14:paraId="7B267887" w14:textId="77777777">
        <w:tc>
          <w:tcPr>
            <w:tcW w:w="709" w:type="dxa"/>
            <w:vAlign w:val="center"/>
          </w:tcPr>
          <w:p w14:paraId="4A19B961" w14:textId="77777777" w:rsidR="00824725" w:rsidRPr="000D3C71" w:rsidRDefault="00953439">
            <w:pPr>
              <w:jc w:val="center"/>
              <w:rPr>
                <w:rFonts w:ascii="Arial" w:hAnsi="Arial" w:cs="Arial"/>
              </w:rPr>
            </w:pPr>
            <w:r w:rsidRPr="000D3C71">
              <w:rPr>
                <w:rFonts w:ascii="Arial" w:hAnsi="Arial" w:cs="Arial"/>
                <w:color w:val="000000" w:themeColor="text1"/>
                <w:lang w:val="en"/>
              </w:rPr>
              <w:t>5</w:t>
            </w:r>
          </w:p>
        </w:tc>
        <w:tc>
          <w:tcPr>
            <w:tcW w:w="1276" w:type="dxa"/>
            <w:vAlign w:val="center"/>
          </w:tcPr>
          <w:p w14:paraId="57E9900F" w14:textId="77777777" w:rsidR="00824725" w:rsidRPr="000D3C71" w:rsidRDefault="00953439">
            <w:pPr>
              <w:jc w:val="center"/>
              <w:rPr>
                <w:rFonts w:ascii="Arial" w:hAnsi="Arial" w:cs="Arial"/>
              </w:rPr>
            </w:pPr>
            <w:r w:rsidRPr="000D3C71">
              <w:rPr>
                <w:rFonts w:ascii="Arial" w:hAnsi="Arial" w:cs="Arial"/>
                <w:color w:val="000000" w:themeColor="text1"/>
                <w:lang w:val="en"/>
              </w:rPr>
              <w:t>000333</w:t>
            </w:r>
          </w:p>
        </w:tc>
        <w:tc>
          <w:tcPr>
            <w:tcW w:w="1701" w:type="dxa"/>
            <w:vAlign w:val="center"/>
          </w:tcPr>
          <w:p w14:paraId="364876C7" w14:textId="77777777" w:rsidR="00824725" w:rsidRPr="000D3C71" w:rsidRDefault="00953439">
            <w:pPr>
              <w:jc w:val="center"/>
              <w:rPr>
                <w:rFonts w:ascii="Arial" w:hAnsi="Arial" w:cs="Arial"/>
              </w:rPr>
            </w:pPr>
            <w:r w:rsidRPr="000D3C71">
              <w:rPr>
                <w:rFonts w:ascii="Arial" w:hAnsi="Arial" w:cs="Arial"/>
                <w:color w:val="000000" w:themeColor="text1"/>
                <w:lang w:val="en"/>
              </w:rPr>
              <w:t>Midea Group</w:t>
            </w:r>
          </w:p>
        </w:tc>
        <w:tc>
          <w:tcPr>
            <w:tcW w:w="1276" w:type="dxa"/>
            <w:vAlign w:val="center"/>
          </w:tcPr>
          <w:p w14:paraId="15017647" w14:textId="77777777" w:rsidR="00824725" w:rsidRPr="000D3C71" w:rsidRDefault="00953439">
            <w:pPr>
              <w:jc w:val="right"/>
              <w:rPr>
                <w:rFonts w:ascii="Arial" w:hAnsi="Arial" w:cs="Arial"/>
              </w:rPr>
            </w:pPr>
            <w:r w:rsidRPr="000D3C71">
              <w:rPr>
                <w:rFonts w:ascii="Arial" w:hAnsi="Arial" w:cs="Arial"/>
                <w:color w:val="000000" w:themeColor="text1"/>
                <w:lang w:val="en"/>
              </w:rPr>
              <w:t>37,937,423</w:t>
            </w:r>
          </w:p>
        </w:tc>
        <w:tc>
          <w:tcPr>
            <w:tcW w:w="1842" w:type="dxa"/>
            <w:vAlign w:val="center"/>
          </w:tcPr>
          <w:p w14:paraId="74234E4B" w14:textId="77777777" w:rsidR="00824725" w:rsidRPr="000D3C71" w:rsidRDefault="00953439">
            <w:pPr>
              <w:jc w:val="right"/>
              <w:rPr>
                <w:rFonts w:ascii="Arial" w:hAnsi="Arial" w:cs="Arial"/>
              </w:rPr>
            </w:pPr>
            <w:r w:rsidRPr="000D3C71">
              <w:rPr>
                <w:rFonts w:ascii="Arial" w:hAnsi="Arial" w:cs="Arial"/>
                <w:color w:val="000000" w:themeColor="text1"/>
                <w:lang w:val="en"/>
              </w:rPr>
              <w:t>2,978,087,705.50</w:t>
            </w:r>
          </w:p>
        </w:tc>
        <w:tc>
          <w:tcPr>
            <w:tcW w:w="1560" w:type="dxa"/>
            <w:vAlign w:val="center"/>
          </w:tcPr>
          <w:p w14:paraId="097F7E8C" w14:textId="77777777" w:rsidR="00824725" w:rsidRPr="000D3C71" w:rsidRDefault="00953439">
            <w:pPr>
              <w:jc w:val="right"/>
              <w:rPr>
                <w:rFonts w:ascii="Arial" w:hAnsi="Arial" w:cs="Arial"/>
              </w:rPr>
            </w:pPr>
            <w:r w:rsidRPr="000D3C71">
              <w:rPr>
                <w:rFonts w:ascii="Arial" w:hAnsi="Arial" w:cs="Arial"/>
                <w:color w:val="000000" w:themeColor="text1"/>
                <w:lang w:val="en"/>
              </w:rPr>
              <w:t>1.87</w:t>
            </w:r>
          </w:p>
        </w:tc>
      </w:tr>
      <w:tr w:rsidR="00824725" w:rsidRPr="000D3C71" w14:paraId="2D7F05DC" w14:textId="77777777">
        <w:tc>
          <w:tcPr>
            <w:tcW w:w="709" w:type="dxa"/>
            <w:vAlign w:val="center"/>
          </w:tcPr>
          <w:p w14:paraId="0DEAD1AD" w14:textId="77777777" w:rsidR="00824725" w:rsidRPr="000D3C71" w:rsidRDefault="00953439">
            <w:pPr>
              <w:jc w:val="center"/>
              <w:rPr>
                <w:rFonts w:ascii="Arial" w:hAnsi="Arial" w:cs="Arial"/>
              </w:rPr>
            </w:pPr>
            <w:r w:rsidRPr="000D3C71">
              <w:rPr>
                <w:rFonts w:ascii="Arial" w:hAnsi="Arial" w:cs="Arial"/>
                <w:color w:val="000000" w:themeColor="text1"/>
                <w:lang w:val="en"/>
              </w:rPr>
              <w:t>6</w:t>
            </w:r>
          </w:p>
        </w:tc>
        <w:tc>
          <w:tcPr>
            <w:tcW w:w="1276" w:type="dxa"/>
            <w:vAlign w:val="center"/>
          </w:tcPr>
          <w:p w14:paraId="047A8C6E" w14:textId="77777777" w:rsidR="00824725" w:rsidRPr="000D3C71" w:rsidRDefault="00953439">
            <w:pPr>
              <w:jc w:val="center"/>
              <w:rPr>
                <w:rFonts w:ascii="Arial" w:hAnsi="Arial" w:cs="Arial"/>
              </w:rPr>
            </w:pPr>
            <w:r w:rsidRPr="000D3C71">
              <w:rPr>
                <w:rFonts w:ascii="Arial" w:hAnsi="Arial" w:cs="Arial"/>
                <w:color w:val="000000" w:themeColor="text1"/>
                <w:lang w:val="en"/>
              </w:rPr>
              <w:t>600900</w:t>
            </w:r>
          </w:p>
        </w:tc>
        <w:tc>
          <w:tcPr>
            <w:tcW w:w="1701" w:type="dxa"/>
            <w:vAlign w:val="center"/>
          </w:tcPr>
          <w:p w14:paraId="6C69FC60" w14:textId="77777777" w:rsidR="00824725" w:rsidRPr="000D3C71" w:rsidRDefault="00953439">
            <w:pPr>
              <w:jc w:val="center"/>
              <w:rPr>
                <w:rFonts w:ascii="Arial" w:hAnsi="Arial" w:cs="Arial"/>
              </w:rPr>
            </w:pPr>
            <w:r w:rsidRPr="000D3C71">
              <w:rPr>
                <w:rFonts w:ascii="Arial" w:hAnsi="Arial" w:cs="Arial"/>
                <w:color w:val="000000" w:themeColor="text1"/>
                <w:lang w:val="en"/>
              </w:rPr>
              <w:t>China Yangtze Power</w:t>
            </w:r>
          </w:p>
        </w:tc>
        <w:tc>
          <w:tcPr>
            <w:tcW w:w="1276" w:type="dxa"/>
            <w:vAlign w:val="center"/>
          </w:tcPr>
          <w:p w14:paraId="3903D35B" w14:textId="77777777" w:rsidR="00824725" w:rsidRPr="000D3C71" w:rsidRDefault="00953439">
            <w:pPr>
              <w:jc w:val="right"/>
              <w:rPr>
                <w:rFonts w:ascii="Arial" w:hAnsi="Arial" w:cs="Arial"/>
              </w:rPr>
            </w:pPr>
            <w:r w:rsidRPr="000D3C71">
              <w:rPr>
                <w:rFonts w:ascii="Arial" w:hAnsi="Arial" w:cs="Arial"/>
                <w:color w:val="000000" w:themeColor="text1"/>
                <w:lang w:val="en"/>
              </w:rPr>
              <w:t>94,924,222</w:t>
            </w:r>
          </w:p>
        </w:tc>
        <w:tc>
          <w:tcPr>
            <w:tcW w:w="1842" w:type="dxa"/>
            <w:vAlign w:val="center"/>
          </w:tcPr>
          <w:p w14:paraId="62D013DC" w14:textId="77777777" w:rsidR="00824725" w:rsidRPr="000D3C71" w:rsidRDefault="00953439">
            <w:pPr>
              <w:jc w:val="right"/>
              <w:rPr>
                <w:rFonts w:ascii="Arial" w:hAnsi="Arial" w:cs="Arial"/>
              </w:rPr>
            </w:pPr>
            <w:r w:rsidRPr="000D3C71">
              <w:rPr>
                <w:rFonts w:ascii="Arial" w:hAnsi="Arial" w:cs="Arial"/>
                <w:color w:val="000000" w:themeColor="text1"/>
                <w:lang w:val="en"/>
              </w:rPr>
              <w:t>2,639,842,613.82</w:t>
            </w:r>
          </w:p>
        </w:tc>
        <w:tc>
          <w:tcPr>
            <w:tcW w:w="1560" w:type="dxa"/>
            <w:vAlign w:val="center"/>
          </w:tcPr>
          <w:p w14:paraId="6396DBE7" w14:textId="77777777" w:rsidR="00824725" w:rsidRPr="000D3C71" w:rsidRDefault="00953439">
            <w:pPr>
              <w:jc w:val="right"/>
              <w:rPr>
                <w:rFonts w:ascii="Arial" w:hAnsi="Arial" w:cs="Arial"/>
              </w:rPr>
            </w:pPr>
            <w:r w:rsidRPr="000D3C71">
              <w:rPr>
                <w:rFonts w:ascii="Arial" w:hAnsi="Arial" w:cs="Arial"/>
                <w:color w:val="000000" w:themeColor="text1"/>
                <w:lang w:val="en"/>
              </w:rPr>
              <w:t>1.66</w:t>
            </w:r>
          </w:p>
        </w:tc>
      </w:tr>
      <w:tr w:rsidR="00824725" w:rsidRPr="000D3C71" w14:paraId="2EEBEF94" w14:textId="77777777">
        <w:tc>
          <w:tcPr>
            <w:tcW w:w="709" w:type="dxa"/>
            <w:vAlign w:val="center"/>
          </w:tcPr>
          <w:p w14:paraId="7D1093B2" w14:textId="77777777" w:rsidR="00824725" w:rsidRPr="000D3C71" w:rsidRDefault="00953439">
            <w:pPr>
              <w:jc w:val="center"/>
              <w:rPr>
                <w:rFonts w:ascii="Arial" w:hAnsi="Arial" w:cs="Arial"/>
              </w:rPr>
            </w:pPr>
            <w:r w:rsidRPr="000D3C71">
              <w:rPr>
                <w:rFonts w:ascii="Arial" w:hAnsi="Arial" w:cs="Arial"/>
                <w:color w:val="000000" w:themeColor="text1"/>
                <w:lang w:val="en"/>
              </w:rPr>
              <w:t>7</w:t>
            </w:r>
          </w:p>
        </w:tc>
        <w:tc>
          <w:tcPr>
            <w:tcW w:w="1276" w:type="dxa"/>
            <w:vAlign w:val="center"/>
          </w:tcPr>
          <w:p w14:paraId="7FFF1E81" w14:textId="77777777" w:rsidR="00824725" w:rsidRPr="000D3C71" w:rsidRDefault="00953439">
            <w:pPr>
              <w:jc w:val="center"/>
              <w:rPr>
                <w:rFonts w:ascii="Arial" w:hAnsi="Arial" w:cs="Arial"/>
              </w:rPr>
            </w:pPr>
            <w:r w:rsidRPr="000D3C71">
              <w:rPr>
                <w:rFonts w:ascii="Arial" w:hAnsi="Arial" w:cs="Arial"/>
                <w:color w:val="000000" w:themeColor="text1"/>
                <w:lang w:val="en"/>
              </w:rPr>
              <w:t>002594</w:t>
            </w:r>
          </w:p>
        </w:tc>
        <w:tc>
          <w:tcPr>
            <w:tcW w:w="1701" w:type="dxa"/>
            <w:vAlign w:val="center"/>
          </w:tcPr>
          <w:p w14:paraId="79422B07" w14:textId="77777777" w:rsidR="00824725" w:rsidRPr="000D3C71" w:rsidRDefault="00953439">
            <w:pPr>
              <w:jc w:val="center"/>
              <w:rPr>
                <w:rFonts w:ascii="Arial" w:hAnsi="Arial" w:cs="Arial"/>
              </w:rPr>
            </w:pPr>
            <w:r w:rsidRPr="000D3C71">
              <w:rPr>
                <w:rFonts w:ascii="Arial" w:hAnsi="Arial" w:cs="Arial"/>
                <w:color w:val="000000" w:themeColor="text1"/>
                <w:lang w:val="en"/>
              </w:rPr>
              <w:t>BYD</w:t>
            </w:r>
          </w:p>
        </w:tc>
        <w:tc>
          <w:tcPr>
            <w:tcW w:w="1276" w:type="dxa"/>
            <w:vAlign w:val="center"/>
          </w:tcPr>
          <w:p w14:paraId="7A79A898" w14:textId="77777777" w:rsidR="00824725" w:rsidRPr="000D3C71" w:rsidRDefault="00953439">
            <w:pPr>
              <w:jc w:val="right"/>
              <w:rPr>
                <w:rFonts w:ascii="Arial" w:hAnsi="Arial" w:cs="Arial"/>
              </w:rPr>
            </w:pPr>
            <w:r w:rsidRPr="000D3C71">
              <w:rPr>
                <w:rFonts w:ascii="Arial" w:hAnsi="Arial" w:cs="Arial"/>
                <w:color w:val="000000" w:themeColor="text1"/>
                <w:lang w:val="en"/>
              </w:rPr>
              <w:t>7,023,845</w:t>
            </w:r>
          </w:p>
        </w:tc>
        <w:tc>
          <w:tcPr>
            <w:tcW w:w="1842" w:type="dxa"/>
            <w:vAlign w:val="center"/>
          </w:tcPr>
          <w:p w14:paraId="2845D591" w14:textId="77777777" w:rsidR="00824725" w:rsidRPr="000D3C71" w:rsidRDefault="00953439">
            <w:pPr>
              <w:jc w:val="right"/>
              <w:rPr>
                <w:rFonts w:ascii="Arial" w:hAnsi="Arial" w:cs="Arial"/>
              </w:rPr>
            </w:pPr>
            <w:r w:rsidRPr="000D3C71">
              <w:rPr>
                <w:rFonts w:ascii="Arial" w:hAnsi="Arial" w:cs="Arial"/>
                <w:color w:val="000000" w:themeColor="text1"/>
                <w:lang w:val="en"/>
              </w:rPr>
              <w:t>2,633,239,490.50</w:t>
            </w:r>
          </w:p>
        </w:tc>
        <w:tc>
          <w:tcPr>
            <w:tcW w:w="1560" w:type="dxa"/>
            <w:vAlign w:val="center"/>
          </w:tcPr>
          <w:p w14:paraId="1A1EE961" w14:textId="77777777" w:rsidR="00824725" w:rsidRPr="000D3C71" w:rsidRDefault="00953439">
            <w:pPr>
              <w:jc w:val="right"/>
              <w:rPr>
                <w:rFonts w:ascii="Arial" w:hAnsi="Arial" w:cs="Arial"/>
              </w:rPr>
            </w:pPr>
            <w:r w:rsidRPr="000D3C71">
              <w:rPr>
                <w:rFonts w:ascii="Arial" w:hAnsi="Arial" w:cs="Arial"/>
                <w:color w:val="000000" w:themeColor="text1"/>
                <w:lang w:val="en"/>
              </w:rPr>
              <w:t>1.66</w:t>
            </w:r>
          </w:p>
        </w:tc>
      </w:tr>
      <w:tr w:rsidR="00824725" w:rsidRPr="000D3C71" w14:paraId="6A117164" w14:textId="77777777">
        <w:tc>
          <w:tcPr>
            <w:tcW w:w="709" w:type="dxa"/>
            <w:vAlign w:val="center"/>
          </w:tcPr>
          <w:p w14:paraId="2C52C33B" w14:textId="77777777" w:rsidR="00824725" w:rsidRPr="000D3C71" w:rsidRDefault="00953439">
            <w:pPr>
              <w:jc w:val="center"/>
              <w:rPr>
                <w:rFonts w:ascii="Arial" w:hAnsi="Arial" w:cs="Arial"/>
              </w:rPr>
            </w:pPr>
            <w:r w:rsidRPr="000D3C71">
              <w:rPr>
                <w:rFonts w:ascii="Arial" w:hAnsi="Arial" w:cs="Arial"/>
                <w:color w:val="000000" w:themeColor="text1"/>
                <w:lang w:val="en"/>
              </w:rPr>
              <w:t>8</w:t>
            </w:r>
          </w:p>
        </w:tc>
        <w:tc>
          <w:tcPr>
            <w:tcW w:w="1276" w:type="dxa"/>
            <w:vAlign w:val="center"/>
          </w:tcPr>
          <w:p w14:paraId="7E186654" w14:textId="77777777" w:rsidR="00824725" w:rsidRPr="000D3C71" w:rsidRDefault="00953439">
            <w:pPr>
              <w:jc w:val="center"/>
              <w:rPr>
                <w:rFonts w:ascii="Arial" w:hAnsi="Arial" w:cs="Arial"/>
              </w:rPr>
            </w:pPr>
            <w:r w:rsidRPr="000D3C71">
              <w:rPr>
                <w:rFonts w:ascii="Arial" w:hAnsi="Arial" w:cs="Arial"/>
                <w:color w:val="000000" w:themeColor="text1"/>
                <w:lang w:val="en"/>
              </w:rPr>
              <w:t>601166</w:t>
            </w:r>
          </w:p>
        </w:tc>
        <w:tc>
          <w:tcPr>
            <w:tcW w:w="1701" w:type="dxa"/>
            <w:vAlign w:val="center"/>
          </w:tcPr>
          <w:p w14:paraId="091A91B1" w14:textId="77777777" w:rsidR="00824725" w:rsidRPr="000D3C71" w:rsidRDefault="00953439">
            <w:pPr>
              <w:jc w:val="center"/>
              <w:rPr>
                <w:rFonts w:ascii="Arial" w:hAnsi="Arial" w:cs="Arial"/>
              </w:rPr>
            </w:pPr>
            <w:r w:rsidRPr="000D3C71">
              <w:rPr>
                <w:rFonts w:ascii="Arial" w:hAnsi="Arial" w:cs="Arial"/>
                <w:color w:val="000000" w:themeColor="text1"/>
                <w:lang w:val="en"/>
              </w:rPr>
              <w:t>CIB</w:t>
            </w:r>
          </w:p>
        </w:tc>
        <w:tc>
          <w:tcPr>
            <w:tcW w:w="1276" w:type="dxa"/>
            <w:vAlign w:val="center"/>
          </w:tcPr>
          <w:p w14:paraId="5B53D970" w14:textId="77777777" w:rsidR="00824725" w:rsidRPr="000D3C71" w:rsidRDefault="00953439">
            <w:pPr>
              <w:jc w:val="right"/>
              <w:rPr>
                <w:rFonts w:ascii="Arial" w:hAnsi="Arial" w:cs="Arial"/>
              </w:rPr>
            </w:pPr>
            <w:r w:rsidRPr="000D3C71">
              <w:rPr>
                <w:rFonts w:ascii="Arial" w:hAnsi="Arial" w:cs="Arial"/>
                <w:color w:val="000000" w:themeColor="text1"/>
                <w:lang w:val="en"/>
              </w:rPr>
              <w:t>112,832,370</w:t>
            </w:r>
          </w:p>
        </w:tc>
        <w:tc>
          <w:tcPr>
            <w:tcW w:w="1842" w:type="dxa"/>
            <w:vAlign w:val="center"/>
          </w:tcPr>
          <w:p w14:paraId="3AC988FC" w14:textId="77777777" w:rsidR="00824725" w:rsidRPr="000D3C71" w:rsidRDefault="00953439">
            <w:pPr>
              <w:jc w:val="right"/>
              <w:rPr>
                <w:rFonts w:ascii="Arial" w:hAnsi="Arial" w:cs="Arial"/>
              </w:rPr>
            </w:pPr>
            <w:r w:rsidRPr="000D3C71">
              <w:rPr>
                <w:rFonts w:ascii="Arial" w:hAnsi="Arial" w:cs="Arial"/>
                <w:color w:val="000000" w:themeColor="text1"/>
                <w:lang w:val="en"/>
              </w:rPr>
              <w:t>2,437,179,192.00</w:t>
            </w:r>
          </w:p>
        </w:tc>
        <w:tc>
          <w:tcPr>
            <w:tcW w:w="1560" w:type="dxa"/>
            <w:vAlign w:val="center"/>
          </w:tcPr>
          <w:p w14:paraId="60990995" w14:textId="77777777" w:rsidR="00824725" w:rsidRPr="000D3C71" w:rsidRDefault="00953439">
            <w:pPr>
              <w:jc w:val="right"/>
              <w:rPr>
                <w:rFonts w:ascii="Arial" w:hAnsi="Arial" w:cs="Arial"/>
              </w:rPr>
            </w:pPr>
            <w:r w:rsidRPr="000D3C71">
              <w:rPr>
                <w:rFonts w:ascii="Arial" w:hAnsi="Arial" w:cs="Arial"/>
                <w:color w:val="000000" w:themeColor="text1"/>
                <w:lang w:val="en"/>
              </w:rPr>
              <w:t>1.53</w:t>
            </w:r>
          </w:p>
        </w:tc>
      </w:tr>
      <w:tr w:rsidR="00824725" w:rsidRPr="000D3C71" w14:paraId="7B8FF45C" w14:textId="77777777">
        <w:tc>
          <w:tcPr>
            <w:tcW w:w="709" w:type="dxa"/>
            <w:vAlign w:val="center"/>
          </w:tcPr>
          <w:p w14:paraId="3A38087B" w14:textId="77777777" w:rsidR="00824725" w:rsidRPr="000D3C71" w:rsidRDefault="00953439">
            <w:pPr>
              <w:jc w:val="center"/>
              <w:rPr>
                <w:rFonts w:ascii="Arial" w:hAnsi="Arial" w:cs="Arial"/>
              </w:rPr>
            </w:pPr>
            <w:r w:rsidRPr="000D3C71">
              <w:rPr>
                <w:rFonts w:ascii="Arial" w:hAnsi="Arial" w:cs="Arial"/>
                <w:color w:val="000000" w:themeColor="text1"/>
                <w:lang w:val="en"/>
              </w:rPr>
              <w:t>9</w:t>
            </w:r>
          </w:p>
        </w:tc>
        <w:tc>
          <w:tcPr>
            <w:tcW w:w="1276" w:type="dxa"/>
            <w:vAlign w:val="center"/>
          </w:tcPr>
          <w:p w14:paraId="12AA39E4" w14:textId="77777777" w:rsidR="00824725" w:rsidRPr="000D3C71" w:rsidRDefault="00953439">
            <w:pPr>
              <w:jc w:val="center"/>
              <w:rPr>
                <w:rFonts w:ascii="Arial" w:hAnsi="Arial" w:cs="Arial"/>
              </w:rPr>
            </w:pPr>
            <w:r w:rsidRPr="000D3C71">
              <w:rPr>
                <w:rFonts w:ascii="Arial" w:hAnsi="Arial" w:cs="Arial"/>
                <w:color w:val="000000" w:themeColor="text1"/>
                <w:lang w:val="en"/>
              </w:rPr>
              <w:t>601899</w:t>
            </w:r>
          </w:p>
        </w:tc>
        <w:tc>
          <w:tcPr>
            <w:tcW w:w="1701" w:type="dxa"/>
            <w:vAlign w:val="center"/>
          </w:tcPr>
          <w:p w14:paraId="277BA630" w14:textId="77777777" w:rsidR="00824725" w:rsidRPr="000D3C71" w:rsidRDefault="00953439">
            <w:pPr>
              <w:jc w:val="center"/>
              <w:rPr>
                <w:rFonts w:ascii="Arial" w:hAnsi="Arial" w:cs="Arial"/>
              </w:rPr>
            </w:pPr>
            <w:r w:rsidRPr="000D3C71">
              <w:rPr>
                <w:rFonts w:ascii="Arial" w:hAnsi="Arial" w:cs="Arial"/>
                <w:color w:val="000000" w:themeColor="text1"/>
                <w:lang w:val="en"/>
              </w:rPr>
              <w:t>Zijin Mining</w:t>
            </w:r>
          </w:p>
        </w:tc>
        <w:tc>
          <w:tcPr>
            <w:tcW w:w="1276" w:type="dxa"/>
            <w:vAlign w:val="center"/>
          </w:tcPr>
          <w:p w14:paraId="4DA3486B" w14:textId="77777777" w:rsidR="00824725" w:rsidRPr="000D3C71" w:rsidRDefault="00953439">
            <w:pPr>
              <w:jc w:val="right"/>
              <w:rPr>
                <w:rFonts w:ascii="Arial" w:hAnsi="Arial" w:cs="Arial"/>
              </w:rPr>
            </w:pPr>
            <w:r w:rsidRPr="000D3C71">
              <w:rPr>
                <w:rFonts w:ascii="Arial" w:hAnsi="Arial" w:cs="Arial"/>
                <w:color w:val="000000" w:themeColor="text1"/>
                <w:lang w:val="en"/>
              </w:rPr>
              <w:t>127,796,993</w:t>
            </w:r>
          </w:p>
        </w:tc>
        <w:tc>
          <w:tcPr>
            <w:tcW w:w="1842" w:type="dxa"/>
            <w:vAlign w:val="center"/>
          </w:tcPr>
          <w:p w14:paraId="0C1E0791" w14:textId="77777777" w:rsidR="00824725" w:rsidRPr="000D3C71" w:rsidRDefault="00953439">
            <w:pPr>
              <w:jc w:val="right"/>
              <w:rPr>
                <w:rFonts w:ascii="Arial" w:hAnsi="Arial" w:cs="Arial"/>
              </w:rPr>
            </w:pPr>
            <w:r w:rsidRPr="000D3C71">
              <w:rPr>
                <w:rFonts w:ascii="Arial" w:hAnsi="Arial" w:cs="Arial"/>
                <w:color w:val="000000" w:themeColor="text1"/>
                <w:lang w:val="en"/>
              </w:rPr>
              <w:t>2,315,681,513.16</w:t>
            </w:r>
          </w:p>
        </w:tc>
        <w:tc>
          <w:tcPr>
            <w:tcW w:w="1560" w:type="dxa"/>
            <w:vAlign w:val="center"/>
          </w:tcPr>
          <w:p w14:paraId="7714FF38" w14:textId="77777777" w:rsidR="00824725" w:rsidRPr="000D3C71" w:rsidRDefault="00953439">
            <w:pPr>
              <w:jc w:val="right"/>
              <w:rPr>
                <w:rFonts w:ascii="Arial" w:hAnsi="Arial" w:cs="Arial"/>
              </w:rPr>
            </w:pPr>
            <w:r w:rsidRPr="000D3C71">
              <w:rPr>
                <w:rFonts w:ascii="Arial" w:hAnsi="Arial" w:cs="Arial"/>
                <w:color w:val="000000" w:themeColor="text1"/>
                <w:lang w:val="en"/>
              </w:rPr>
              <w:t>1.46</w:t>
            </w:r>
          </w:p>
        </w:tc>
      </w:tr>
      <w:tr w:rsidR="00824725" w:rsidRPr="000D3C71" w14:paraId="54E316A3" w14:textId="77777777">
        <w:tc>
          <w:tcPr>
            <w:tcW w:w="709" w:type="dxa"/>
            <w:vAlign w:val="center"/>
          </w:tcPr>
          <w:p w14:paraId="5C9E78B6" w14:textId="77777777" w:rsidR="00824725" w:rsidRPr="000D3C71" w:rsidRDefault="00953439">
            <w:pPr>
              <w:jc w:val="center"/>
              <w:rPr>
                <w:rFonts w:ascii="Arial" w:hAnsi="Arial" w:cs="Arial"/>
              </w:rPr>
            </w:pPr>
            <w:r w:rsidRPr="000D3C71">
              <w:rPr>
                <w:rFonts w:ascii="Arial" w:hAnsi="Arial" w:cs="Arial"/>
                <w:color w:val="000000" w:themeColor="text1"/>
                <w:lang w:val="en"/>
              </w:rPr>
              <w:t>10</w:t>
            </w:r>
          </w:p>
        </w:tc>
        <w:tc>
          <w:tcPr>
            <w:tcW w:w="1276" w:type="dxa"/>
            <w:vAlign w:val="center"/>
          </w:tcPr>
          <w:p w14:paraId="4689D1BB" w14:textId="77777777" w:rsidR="00824725" w:rsidRPr="000D3C71" w:rsidRDefault="00953439">
            <w:pPr>
              <w:jc w:val="center"/>
              <w:rPr>
                <w:rFonts w:ascii="Arial" w:hAnsi="Arial" w:cs="Arial"/>
              </w:rPr>
            </w:pPr>
            <w:r w:rsidRPr="000D3C71">
              <w:rPr>
                <w:rFonts w:ascii="Arial" w:hAnsi="Arial" w:cs="Arial"/>
                <w:color w:val="000000" w:themeColor="text1"/>
                <w:lang w:val="en"/>
              </w:rPr>
              <w:t>300059</w:t>
            </w:r>
          </w:p>
        </w:tc>
        <w:tc>
          <w:tcPr>
            <w:tcW w:w="1701" w:type="dxa"/>
            <w:vAlign w:val="center"/>
          </w:tcPr>
          <w:p w14:paraId="303FD730" w14:textId="77777777" w:rsidR="00824725" w:rsidRPr="000D3C71" w:rsidRDefault="00953439">
            <w:pPr>
              <w:jc w:val="center"/>
              <w:rPr>
                <w:rFonts w:ascii="Arial" w:hAnsi="Arial" w:cs="Arial"/>
              </w:rPr>
            </w:pPr>
            <w:r w:rsidRPr="000D3C71">
              <w:rPr>
                <w:rFonts w:ascii="Arial" w:hAnsi="Arial" w:cs="Arial"/>
                <w:color w:val="000000" w:themeColor="text1"/>
                <w:lang w:val="en"/>
              </w:rPr>
              <w:t>East Money</w:t>
            </w:r>
          </w:p>
        </w:tc>
        <w:tc>
          <w:tcPr>
            <w:tcW w:w="1276" w:type="dxa"/>
            <w:vAlign w:val="center"/>
          </w:tcPr>
          <w:p w14:paraId="1C2F27A1" w14:textId="77777777" w:rsidR="00824725" w:rsidRPr="000D3C71" w:rsidRDefault="00953439">
            <w:pPr>
              <w:jc w:val="right"/>
              <w:rPr>
                <w:rFonts w:ascii="Arial" w:hAnsi="Arial" w:cs="Arial"/>
              </w:rPr>
            </w:pPr>
            <w:r w:rsidRPr="000D3C71">
              <w:rPr>
                <w:rFonts w:ascii="Arial" w:hAnsi="Arial" w:cs="Arial"/>
                <w:color w:val="000000" w:themeColor="text1"/>
                <w:lang w:val="en"/>
              </w:rPr>
              <w:t>97,981,484</w:t>
            </w:r>
          </w:p>
        </w:tc>
        <w:tc>
          <w:tcPr>
            <w:tcW w:w="1842" w:type="dxa"/>
            <w:vAlign w:val="center"/>
          </w:tcPr>
          <w:p w14:paraId="58100123" w14:textId="77777777" w:rsidR="00824725" w:rsidRPr="000D3C71" w:rsidRDefault="00953439">
            <w:pPr>
              <w:jc w:val="right"/>
              <w:rPr>
                <w:rFonts w:ascii="Arial" w:hAnsi="Arial" w:cs="Arial"/>
              </w:rPr>
            </w:pPr>
            <w:r w:rsidRPr="000D3C71">
              <w:rPr>
                <w:rFonts w:ascii="Arial" w:hAnsi="Arial" w:cs="Arial"/>
                <w:color w:val="000000" w:themeColor="text1"/>
                <w:lang w:val="en"/>
              </w:rPr>
              <w:t>2,212,421,908.72</w:t>
            </w:r>
          </w:p>
        </w:tc>
        <w:tc>
          <w:tcPr>
            <w:tcW w:w="1560" w:type="dxa"/>
            <w:vAlign w:val="center"/>
          </w:tcPr>
          <w:p w14:paraId="790877A6" w14:textId="77777777" w:rsidR="00824725" w:rsidRPr="000D3C71" w:rsidRDefault="00953439">
            <w:pPr>
              <w:jc w:val="right"/>
              <w:rPr>
                <w:rFonts w:ascii="Arial" w:hAnsi="Arial" w:cs="Arial"/>
              </w:rPr>
            </w:pPr>
            <w:r w:rsidRPr="000D3C71">
              <w:rPr>
                <w:rFonts w:ascii="Arial" w:hAnsi="Arial" w:cs="Arial"/>
                <w:color w:val="000000" w:themeColor="text1"/>
                <w:lang w:val="en"/>
              </w:rPr>
              <w:t>1.39</w:t>
            </w:r>
          </w:p>
        </w:tc>
      </w:tr>
    </w:tbl>
    <w:p w14:paraId="26E84475" w14:textId="77777777" w:rsidR="00824725" w:rsidRPr="000D3C71" w:rsidRDefault="00953439">
      <w:pPr>
        <w:pStyle w:val="a1"/>
        <w:spacing w:before="0" w:after="0" w:line="360" w:lineRule="auto"/>
        <w:rPr>
          <w:rFonts w:ascii="Arial" w:hAnsi="Arial" w:cs="Arial"/>
          <w:b w:val="0"/>
          <w:sz w:val="21"/>
          <w:szCs w:val="21"/>
        </w:rPr>
      </w:pPr>
      <w:bookmarkStart w:id="80" w:name="_Toc211640931"/>
      <w:r w:rsidRPr="000D3C71">
        <w:rPr>
          <w:rFonts w:ascii="Arial" w:hAnsi="Arial" w:cs="Arial"/>
          <w:b w:val="0"/>
          <w:bCs w:val="0"/>
          <w:sz w:val="21"/>
          <w:szCs w:val="21"/>
          <w:lang w:val="en"/>
        </w:rPr>
        <w:t>5.4 Bond Portfolio by Bond Type as of the End of the Reporting Period</w:t>
      </w:r>
      <w:bookmarkEnd w:id="80"/>
    </w:p>
    <w:p w14:paraId="3796FCCB" w14:textId="77777777" w:rsidR="00824725" w:rsidRPr="000D3C71" w:rsidRDefault="00953439">
      <w:pPr>
        <w:pStyle w:val="a0"/>
        <w:spacing w:line="360" w:lineRule="auto"/>
        <w:ind w:firstLine="420"/>
        <w:jc w:val="left"/>
        <w:rPr>
          <w:rFonts w:ascii="Arial" w:hAnsi="Arial" w:cs="Arial"/>
          <w:szCs w:val="21"/>
        </w:rPr>
      </w:pPr>
      <w:r w:rsidRPr="000D3C71">
        <w:rPr>
          <w:rFonts w:ascii="Arial" w:hAnsi="Arial" w:cs="Arial"/>
          <w:szCs w:val="21"/>
          <w:lang w:val="en"/>
        </w:rPr>
        <w:t>As of the end of the reporting period, the Fund held no bonds.</w:t>
      </w:r>
    </w:p>
    <w:p w14:paraId="366CCBBE" w14:textId="77777777" w:rsidR="00824725" w:rsidRPr="000D3C71" w:rsidRDefault="00953439">
      <w:pPr>
        <w:pStyle w:val="a1"/>
        <w:spacing w:before="0" w:after="0" w:line="360" w:lineRule="auto"/>
        <w:rPr>
          <w:rFonts w:ascii="Arial" w:hAnsi="Arial" w:cs="Arial"/>
          <w:b w:val="0"/>
          <w:sz w:val="21"/>
          <w:szCs w:val="21"/>
        </w:rPr>
      </w:pPr>
      <w:bookmarkStart w:id="81" w:name="_Toc211640932"/>
      <w:r w:rsidRPr="000D3C71">
        <w:rPr>
          <w:rFonts w:ascii="Arial" w:hAnsi="Arial" w:cs="Arial"/>
          <w:b w:val="0"/>
          <w:bCs w:val="0"/>
          <w:sz w:val="21"/>
          <w:szCs w:val="21"/>
          <w:lang w:val="en"/>
        </w:rPr>
        <w:t>5.5 Top Five Bond Holdings by Fair Value as a Percentage of the Fund NAV as of the End of the Reporting Period</w:t>
      </w:r>
      <w:bookmarkEnd w:id="81"/>
    </w:p>
    <w:p w14:paraId="06D10341" w14:textId="77777777" w:rsidR="00824725" w:rsidRPr="000D3C71" w:rsidRDefault="00953439">
      <w:pPr>
        <w:pStyle w:val="a0"/>
        <w:spacing w:line="360" w:lineRule="auto"/>
        <w:ind w:firstLine="420"/>
        <w:jc w:val="left"/>
        <w:rPr>
          <w:rFonts w:ascii="Arial" w:hAnsi="Arial" w:cs="Arial"/>
          <w:szCs w:val="21"/>
        </w:rPr>
      </w:pPr>
      <w:r w:rsidRPr="000D3C71">
        <w:rPr>
          <w:rFonts w:ascii="Arial" w:hAnsi="Arial" w:cs="Arial"/>
          <w:szCs w:val="21"/>
          <w:lang w:val="en"/>
        </w:rPr>
        <w:t>As of the end of the reporting period, the Fund held no bonds.</w:t>
      </w:r>
    </w:p>
    <w:p w14:paraId="1B76962E" w14:textId="77777777" w:rsidR="00824725" w:rsidRPr="000D3C71" w:rsidRDefault="00953439">
      <w:pPr>
        <w:pStyle w:val="a1"/>
        <w:spacing w:before="0" w:after="0" w:line="360" w:lineRule="auto"/>
        <w:rPr>
          <w:rFonts w:ascii="Arial" w:hAnsi="Arial" w:cs="Arial"/>
          <w:b w:val="0"/>
          <w:sz w:val="21"/>
          <w:szCs w:val="21"/>
        </w:rPr>
      </w:pPr>
      <w:bookmarkStart w:id="82" w:name="_Toc211640933"/>
      <w:r w:rsidRPr="000D3C71">
        <w:rPr>
          <w:rFonts w:ascii="Arial" w:hAnsi="Arial" w:cs="Arial"/>
          <w:b w:val="0"/>
          <w:bCs w:val="0"/>
          <w:sz w:val="21"/>
          <w:szCs w:val="21"/>
          <w:lang w:val="en"/>
        </w:rPr>
        <w:t>5.6 Top Ten Asset-Backed Securities Holdings by Fair Value as a Percentage of the Fund NAV as of the End of the Reporting Period</w:t>
      </w:r>
      <w:bookmarkEnd w:id="82"/>
    </w:p>
    <w:p w14:paraId="2F6C13B7" w14:textId="77777777" w:rsidR="00824725" w:rsidRPr="000D3C71" w:rsidRDefault="00953439">
      <w:pPr>
        <w:pStyle w:val="a0"/>
        <w:spacing w:line="360" w:lineRule="auto"/>
        <w:ind w:firstLine="420"/>
        <w:jc w:val="left"/>
        <w:rPr>
          <w:rFonts w:ascii="Arial" w:hAnsi="Arial" w:cs="Arial"/>
          <w:szCs w:val="21"/>
        </w:rPr>
      </w:pPr>
      <w:r w:rsidRPr="000D3C71">
        <w:rPr>
          <w:rFonts w:ascii="Arial" w:hAnsi="Arial" w:cs="Arial"/>
          <w:szCs w:val="21"/>
          <w:lang w:val="en"/>
        </w:rPr>
        <w:t>As of the end of the reporting period, the Fund held no asset-backed securities.</w:t>
      </w:r>
    </w:p>
    <w:p w14:paraId="603D2560" w14:textId="77777777" w:rsidR="00824725" w:rsidRPr="000D3C71" w:rsidRDefault="00953439">
      <w:pPr>
        <w:pStyle w:val="a1"/>
        <w:spacing w:before="0" w:after="0" w:line="360" w:lineRule="auto"/>
        <w:rPr>
          <w:rFonts w:ascii="Arial" w:hAnsi="Arial" w:cs="Arial"/>
          <w:b w:val="0"/>
          <w:sz w:val="21"/>
          <w:szCs w:val="21"/>
        </w:rPr>
      </w:pPr>
      <w:bookmarkStart w:id="83" w:name="_Toc211640934"/>
      <w:r w:rsidRPr="000D3C71">
        <w:rPr>
          <w:rFonts w:ascii="Arial" w:hAnsi="Arial" w:cs="Arial"/>
          <w:b w:val="0"/>
          <w:bCs w:val="0"/>
          <w:sz w:val="21"/>
          <w:szCs w:val="21"/>
          <w:lang w:val="en"/>
        </w:rPr>
        <w:t>5.7 Top Five Precious Metal Holdings by Fair Value as a Percentage of the Fund NAV as of the End of the Reporting Period</w:t>
      </w:r>
      <w:bookmarkEnd w:id="83"/>
    </w:p>
    <w:p w14:paraId="24CFC22C" w14:textId="77777777" w:rsidR="00824725" w:rsidRPr="000D3C71" w:rsidRDefault="00953439">
      <w:pPr>
        <w:pStyle w:val="a0"/>
        <w:spacing w:line="360" w:lineRule="auto"/>
        <w:ind w:firstLine="420"/>
        <w:jc w:val="left"/>
        <w:rPr>
          <w:rFonts w:ascii="Arial" w:hAnsi="Arial" w:cs="Arial"/>
          <w:szCs w:val="21"/>
        </w:rPr>
      </w:pPr>
      <w:r w:rsidRPr="000D3C71">
        <w:rPr>
          <w:rFonts w:ascii="Arial" w:hAnsi="Arial" w:cs="Arial"/>
          <w:szCs w:val="21"/>
          <w:lang w:val="en"/>
        </w:rPr>
        <w:t>As of the end of the reporting period, the Fund held no precious metals.</w:t>
      </w:r>
    </w:p>
    <w:p w14:paraId="5158D3D8" w14:textId="77777777" w:rsidR="00824725" w:rsidRPr="000D3C71" w:rsidRDefault="00953439">
      <w:pPr>
        <w:pStyle w:val="a1"/>
        <w:spacing w:before="0" w:after="0" w:line="360" w:lineRule="auto"/>
        <w:rPr>
          <w:rFonts w:ascii="Arial" w:hAnsi="Arial" w:cs="Arial"/>
          <w:b w:val="0"/>
          <w:sz w:val="21"/>
          <w:szCs w:val="21"/>
        </w:rPr>
      </w:pPr>
      <w:bookmarkStart w:id="84" w:name="_Toc211640935"/>
      <w:r w:rsidRPr="000D3C71">
        <w:rPr>
          <w:rFonts w:ascii="Arial" w:hAnsi="Arial" w:cs="Arial"/>
          <w:b w:val="0"/>
          <w:bCs w:val="0"/>
          <w:sz w:val="21"/>
          <w:szCs w:val="21"/>
          <w:lang w:val="en"/>
        </w:rPr>
        <w:t>5.8 Top Five Warrant Holdings by Fair Value as a Percentage of the Fund NAV as of the End of the Reporting Period</w:t>
      </w:r>
      <w:bookmarkEnd w:id="84"/>
    </w:p>
    <w:p w14:paraId="57C3F8B5" w14:textId="77777777" w:rsidR="00824725" w:rsidRPr="000D3C71" w:rsidRDefault="00953439">
      <w:pPr>
        <w:pStyle w:val="a0"/>
        <w:spacing w:line="360" w:lineRule="auto"/>
        <w:ind w:firstLine="420"/>
        <w:jc w:val="left"/>
        <w:rPr>
          <w:rFonts w:ascii="Arial" w:hAnsi="Arial" w:cs="Arial"/>
          <w:szCs w:val="21"/>
        </w:rPr>
      </w:pPr>
      <w:r w:rsidRPr="000D3C71">
        <w:rPr>
          <w:rFonts w:ascii="Arial" w:hAnsi="Arial" w:cs="Arial"/>
          <w:szCs w:val="21"/>
          <w:lang w:val="en"/>
        </w:rPr>
        <w:t>As of the end of the reporting period, the Fund held no warrants.</w:t>
      </w:r>
    </w:p>
    <w:p w14:paraId="14291F88" w14:textId="77777777" w:rsidR="00824725" w:rsidRPr="000D3C71" w:rsidRDefault="00953439">
      <w:pPr>
        <w:pStyle w:val="a1"/>
        <w:spacing w:before="0" w:after="0" w:line="360" w:lineRule="auto"/>
        <w:rPr>
          <w:rFonts w:ascii="Arial" w:hAnsi="Arial" w:cs="Arial"/>
          <w:b w:val="0"/>
          <w:sz w:val="21"/>
          <w:szCs w:val="21"/>
        </w:rPr>
      </w:pPr>
      <w:bookmarkStart w:id="85" w:name="_Toc211640936"/>
      <w:r w:rsidRPr="000D3C71">
        <w:rPr>
          <w:rFonts w:ascii="Arial" w:hAnsi="Arial" w:cs="Arial"/>
          <w:b w:val="0"/>
          <w:bCs w:val="0"/>
          <w:sz w:val="21"/>
          <w:szCs w:val="21"/>
          <w:lang w:val="en"/>
        </w:rPr>
        <w:t>5.9 Stock Index Futures Positions as of the End of the Reporting Period</w:t>
      </w:r>
      <w:bookmarkEnd w:id="85"/>
    </w:p>
    <w:p w14:paraId="08AB6DD7" w14:textId="77777777" w:rsidR="00824725" w:rsidRPr="000D3C71" w:rsidRDefault="00953439">
      <w:pPr>
        <w:pStyle w:val="a1"/>
        <w:spacing w:before="0" w:after="0" w:line="360" w:lineRule="auto"/>
        <w:rPr>
          <w:rFonts w:ascii="Arial" w:hAnsi="Arial" w:cs="Arial"/>
          <w:b w:val="0"/>
          <w:sz w:val="21"/>
          <w:szCs w:val="21"/>
        </w:rPr>
      </w:pPr>
      <w:bookmarkStart w:id="86" w:name="_Toc211640937"/>
      <w:r w:rsidRPr="000D3C71">
        <w:rPr>
          <w:rFonts w:ascii="Arial" w:hAnsi="Arial" w:cs="Arial"/>
          <w:b w:val="0"/>
          <w:bCs w:val="0"/>
          <w:sz w:val="21"/>
          <w:szCs w:val="21"/>
          <w:lang w:val="en"/>
        </w:rPr>
        <w:t>5.9.1 Stock Index Futures Positions and Profit and Loss as of the End of the Reporting Period</w:t>
      </w:r>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203"/>
        <w:gridCol w:w="1203"/>
        <w:gridCol w:w="1676"/>
        <w:gridCol w:w="1559"/>
        <w:gridCol w:w="1559"/>
      </w:tblGrid>
      <w:tr w:rsidR="00824725" w:rsidRPr="000D3C71" w14:paraId="7C0E0B69" w14:textId="77777777">
        <w:trPr>
          <w:trHeight w:val="105"/>
        </w:trPr>
        <w:tc>
          <w:tcPr>
            <w:tcW w:w="786" w:type="pct"/>
            <w:vAlign w:val="center"/>
          </w:tcPr>
          <w:p w14:paraId="33A184E2" w14:textId="77777777" w:rsidR="00824725" w:rsidRPr="000D3C71" w:rsidRDefault="00953439">
            <w:pPr>
              <w:pStyle w:val="a5"/>
              <w:jc w:val="center"/>
              <w:rPr>
                <w:rFonts w:ascii="Arial" w:hAnsi="Arial" w:cs="Arial"/>
                <w:color w:val="000000" w:themeColor="text1"/>
                <w:sz w:val="21"/>
                <w:szCs w:val="21"/>
              </w:rPr>
            </w:pPr>
            <w:r w:rsidRPr="000D3C71">
              <w:rPr>
                <w:rFonts w:ascii="Arial" w:hAnsi="Arial" w:cs="Arial"/>
                <w:color w:val="000000" w:themeColor="text1"/>
                <w:sz w:val="21"/>
                <w:szCs w:val="21"/>
                <w:lang w:val="en"/>
              </w:rPr>
              <w:t>Code</w:t>
            </w:r>
          </w:p>
        </w:tc>
        <w:tc>
          <w:tcPr>
            <w:tcW w:w="850" w:type="pct"/>
            <w:vAlign w:val="center"/>
          </w:tcPr>
          <w:p w14:paraId="56739948" w14:textId="77777777" w:rsidR="00824725" w:rsidRPr="000D3C71" w:rsidRDefault="00953439">
            <w:pPr>
              <w:pStyle w:val="a5"/>
              <w:jc w:val="center"/>
              <w:rPr>
                <w:rFonts w:ascii="Arial" w:hAnsi="Arial" w:cs="Arial"/>
                <w:color w:val="000000" w:themeColor="text1"/>
                <w:sz w:val="21"/>
                <w:szCs w:val="21"/>
              </w:rPr>
            </w:pPr>
            <w:r w:rsidRPr="000D3C71">
              <w:rPr>
                <w:rFonts w:ascii="Arial" w:hAnsi="Arial" w:cs="Arial"/>
                <w:color w:val="000000" w:themeColor="text1"/>
                <w:sz w:val="21"/>
                <w:szCs w:val="21"/>
                <w:lang w:val="en"/>
              </w:rPr>
              <w:t>Name</w:t>
            </w:r>
          </w:p>
        </w:tc>
        <w:tc>
          <w:tcPr>
            <w:tcW w:w="850" w:type="pct"/>
            <w:vAlign w:val="center"/>
          </w:tcPr>
          <w:p w14:paraId="2BCC4E6D" w14:textId="77777777" w:rsidR="00824725" w:rsidRPr="000D3C71" w:rsidRDefault="00953439">
            <w:pPr>
              <w:pStyle w:val="a5"/>
              <w:jc w:val="center"/>
              <w:rPr>
                <w:rFonts w:ascii="Arial" w:hAnsi="Arial" w:cs="Arial"/>
                <w:color w:val="000000" w:themeColor="text1"/>
                <w:sz w:val="21"/>
                <w:szCs w:val="21"/>
              </w:rPr>
            </w:pPr>
            <w:r w:rsidRPr="000D3C71">
              <w:rPr>
                <w:rFonts w:ascii="Arial" w:hAnsi="Arial" w:cs="Arial"/>
                <w:color w:val="000000" w:themeColor="text1"/>
                <w:sz w:val="21"/>
                <w:szCs w:val="21"/>
                <w:lang w:val="en"/>
              </w:rPr>
              <w:t>Position Size</w:t>
            </w:r>
          </w:p>
        </w:tc>
        <w:tc>
          <w:tcPr>
            <w:tcW w:w="850" w:type="pct"/>
            <w:vAlign w:val="center"/>
          </w:tcPr>
          <w:p w14:paraId="57E97B52" w14:textId="77777777" w:rsidR="00824725" w:rsidRPr="000D3C71" w:rsidRDefault="00953439">
            <w:pPr>
              <w:pStyle w:val="a5"/>
              <w:jc w:val="center"/>
              <w:rPr>
                <w:rFonts w:ascii="Arial" w:hAnsi="Arial" w:cs="Arial"/>
                <w:color w:val="000000" w:themeColor="text1"/>
                <w:sz w:val="21"/>
                <w:szCs w:val="21"/>
              </w:rPr>
            </w:pPr>
            <w:r w:rsidRPr="000D3C71">
              <w:rPr>
                <w:rFonts w:ascii="Arial" w:hAnsi="Arial" w:cs="Arial"/>
                <w:color w:val="000000" w:themeColor="text1"/>
                <w:sz w:val="21"/>
                <w:szCs w:val="21"/>
                <w:lang w:val="en"/>
              </w:rPr>
              <w:t>Contract Value (RMB)</w:t>
            </w:r>
          </w:p>
        </w:tc>
        <w:tc>
          <w:tcPr>
            <w:tcW w:w="851" w:type="pct"/>
            <w:vAlign w:val="center"/>
          </w:tcPr>
          <w:p w14:paraId="332CDCD2" w14:textId="77777777" w:rsidR="00824725" w:rsidRPr="000D3C71" w:rsidRDefault="00953439">
            <w:pPr>
              <w:pStyle w:val="a5"/>
              <w:jc w:val="center"/>
              <w:rPr>
                <w:rFonts w:ascii="Arial" w:hAnsi="Arial" w:cs="Arial"/>
                <w:color w:val="000000" w:themeColor="text1"/>
                <w:sz w:val="21"/>
                <w:szCs w:val="21"/>
              </w:rPr>
            </w:pPr>
            <w:r w:rsidRPr="000D3C71">
              <w:rPr>
                <w:rFonts w:ascii="Arial" w:hAnsi="Arial" w:cs="Arial"/>
                <w:color w:val="000000" w:themeColor="text1"/>
                <w:sz w:val="21"/>
                <w:szCs w:val="21"/>
                <w:lang w:val="en"/>
              </w:rPr>
              <w:t>Fair Value Change (RMB)</w:t>
            </w:r>
          </w:p>
        </w:tc>
        <w:tc>
          <w:tcPr>
            <w:tcW w:w="814" w:type="pct"/>
            <w:vAlign w:val="center"/>
          </w:tcPr>
          <w:p w14:paraId="5B202A92" w14:textId="77777777" w:rsidR="00824725" w:rsidRPr="000D3C71" w:rsidRDefault="00953439">
            <w:pPr>
              <w:pStyle w:val="a5"/>
              <w:jc w:val="center"/>
              <w:rPr>
                <w:rFonts w:ascii="Arial" w:hAnsi="Arial" w:cs="Arial"/>
                <w:color w:val="000000" w:themeColor="text1"/>
                <w:sz w:val="21"/>
                <w:szCs w:val="21"/>
              </w:rPr>
            </w:pPr>
            <w:r w:rsidRPr="000D3C71">
              <w:rPr>
                <w:rFonts w:ascii="Arial" w:hAnsi="Arial" w:cs="Arial"/>
                <w:color w:val="000000" w:themeColor="text1"/>
                <w:sz w:val="21"/>
                <w:szCs w:val="21"/>
                <w:lang w:val="en"/>
              </w:rPr>
              <w:t>Risk Disclosure</w:t>
            </w:r>
          </w:p>
        </w:tc>
      </w:tr>
      <w:tr w:rsidR="00824725" w:rsidRPr="000D3C71" w14:paraId="338065F2" w14:textId="77777777">
        <w:tc>
          <w:tcPr>
            <w:tcW w:w="0" w:type="auto"/>
            <w:vAlign w:val="center"/>
          </w:tcPr>
          <w:p w14:paraId="41D8BC52" w14:textId="77777777" w:rsidR="00824725" w:rsidRPr="000D3C71" w:rsidRDefault="00953439">
            <w:pPr>
              <w:jc w:val="center"/>
              <w:rPr>
                <w:rFonts w:ascii="Arial" w:hAnsi="Arial" w:cs="Arial"/>
              </w:rPr>
            </w:pPr>
            <w:r w:rsidRPr="000D3C71">
              <w:rPr>
                <w:rFonts w:ascii="Arial" w:hAnsi="Arial" w:cs="Arial"/>
                <w:color w:val="000000" w:themeColor="text1"/>
                <w:lang w:val="en"/>
              </w:rPr>
              <w:t>IF2506</w:t>
            </w:r>
          </w:p>
        </w:tc>
        <w:tc>
          <w:tcPr>
            <w:tcW w:w="0" w:type="auto"/>
            <w:vAlign w:val="center"/>
          </w:tcPr>
          <w:p w14:paraId="32BD7553" w14:textId="77777777" w:rsidR="00824725" w:rsidRPr="000D3C71" w:rsidRDefault="00953439">
            <w:pPr>
              <w:jc w:val="left"/>
              <w:rPr>
                <w:rFonts w:ascii="Arial" w:hAnsi="Arial" w:cs="Arial"/>
              </w:rPr>
            </w:pPr>
            <w:r w:rsidRPr="000D3C71">
              <w:rPr>
                <w:rFonts w:ascii="Arial" w:hAnsi="Arial" w:cs="Arial"/>
                <w:color w:val="000000" w:themeColor="text1"/>
                <w:lang w:val="en"/>
              </w:rPr>
              <w:t>CSI 300 Index Futures Contract IF2506</w:t>
            </w:r>
          </w:p>
        </w:tc>
        <w:tc>
          <w:tcPr>
            <w:tcW w:w="0" w:type="auto"/>
            <w:vAlign w:val="center"/>
          </w:tcPr>
          <w:p w14:paraId="294ABB55" w14:textId="77777777" w:rsidR="00824725" w:rsidRPr="000D3C71" w:rsidRDefault="00953439">
            <w:pPr>
              <w:jc w:val="right"/>
              <w:rPr>
                <w:rFonts w:ascii="Arial" w:hAnsi="Arial" w:cs="Arial"/>
              </w:rPr>
            </w:pPr>
            <w:r w:rsidRPr="000D3C71">
              <w:rPr>
                <w:rFonts w:ascii="Arial" w:hAnsi="Arial" w:cs="Arial"/>
                <w:color w:val="000000" w:themeColor="text1"/>
                <w:lang w:val="en"/>
              </w:rPr>
              <w:t>442</w:t>
            </w:r>
          </w:p>
        </w:tc>
        <w:tc>
          <w:tcPr>
            <w:tcW w:w="0" w:type="auto"/>
            <w:vAlign w:val="center"/>
          </w:tcPr>
          <w:p w14:paraId="33017EFA" w14:textId="77777777" w:rsidR="00824725" w:rsidRPr="000D3C71" w:rsidRDefault="00953439">
            <w:pPr>
              <w:jc w:val="right"/>
              <w:rPr>
                <w:rFonts w:ascii="Arial" w:hAnsi="Arial" w:cs="Arial"/>
              </w:rPr>
            </w:pPr>
            <w:r w:rsidRPr="000D3C71">
              <w:rPr>
                <w:rFonts w:ascii="Arial" w:hAnsi="Arial" w:cs="Arial"/>
                <w:color w:val="000000" w:themeColor="text1"/>
                <w:lang w:val="en"/>
              </w:rPr>
              <w:t>511,358,640.00</w:t>
            </w:r>
          </w:p>
        </w:tc>
        <w:tc>
          <w:tcPr>
            <w:tcW w:w="0" w:type="auto"/>
            <w:vAlign w:val="center"/>
          </w:tcPr>
          <w:p w14:paraId="5B710127" w14:textId="77777777" w:rsidR="00824725" w:rsidRPr="000D3C71" w:rsidRDefault="00953439">
            <w:pPr>
              <w:jc w:val="right"/>
              <w:rPr>
                <w:rFonts w:ascii="Arial" w:hAnsi="Arial" w:cs="Arial"/>
              </w:rPr>
            </w:pPr>
            <w:r w:rsidRPr="000D3C71">
              <w:rPr>
                <w:rFonts w:ascii="Arial" w:hAnsi="Arial" w:cs="Arial"/>
                <w:color w:val="000000" w:themeColor="text1"/>
                <w:lang w:val="en"/>
              </w:rPr>
              <w:t>-16,549,606.15</w:t>
            </w:r>
          </w:p>
        </w:tc>
        <w:tc>
          <w:tcPr>
            <w:tcW w:w="0" w:type="auto"/>
            <w:vAlign w:val="center"/>
          </w:tcPr>
          <w:p w14:paraId="19462830" w14:textId="77777777" w:rsidR="00824725" w:rsidRPr="000D3C71" w:rsidRDefault="00953439">
            <w:pPr>
              <w:jc w:val="left"/>
              <w:rPr>
                <w:rFonts w:ascii="Arial" w:hAnsi="Arial" w:cs="Arial"/>
              </w:rPr>
            </w:pPr>
            <w:r w:rsidRPr="000D3C71">
              <w:rPr>
                <w:rFonts w:ascii="Arial" w:hAnsi="Arial" w:cs="Arial"/>
                <w:color w:val="000000" w:themeColor="text1"/>
                <w:lang w:val="en"/>
              </w:rPr>
              <w:t>The purpose of purchasing stock index futures is for more effective liquidity management and to achieve the investment objective.</w:t>
            </w:r>
          </w:p>
        </w:tc>
      </w:tr>
      <w:tr w:rsidR="00824725" w:rsidRPr="000D3C71" w14:paraId="36EB0950" w14:textId="77777777">
        <w:trPr>
          <w:trHeight w:val="105"/>
        </w:trPr>
        <w:tc>
          <w:tcPr>
            <w:tcW w:w="4186" w:type="pct"/>
            <w:gridSpan w:val="5"/>
            <w:vAlign w:val="center"/>
          </w:tcPr>
          <w:p w14:paraId="5FD3CAB5" w14:textId="77777777" w:rsidR="00824725" w:rsidRPr="000D3C71" w:rsidRDefault="00953439">
            <w:pPr>
              <w:pStyle w:val="a5"/>
              <w:rPr>
                <w:rFonts w:ascii="Arial" w:hAnsi="Arial" w:cs="Arial"/>
                <w:color w:val="000000" w:themeColor="text1"/>
                <w:sz w:val="21"/>
                <w:szCs w:val="21"/>
              </w:rPr>
            </w:pPr>
            <w:r w:rsidRPr="000D3C71">
              <w:rPr>
                <w:rFonts w:ascii="Arial" w:hAnsi="Arial" w:cs="Arial"/>
                <w:color w:val="000000" w:themeColor="text1"/>
                <w:sz w:val="21"/>
                <w:szCs w:val="21"/>
                <w:lang w:val="en"/>
              </w:rPr>
              <w:t>Total Change in Fair Value (RMB)</w:t>
            </w:r>
          </w:p>
        </w:tc>
        <w:tc>
          <w:tcPr>
            <w:tcW w:w="814" w:type="pct"/>
            <w:vAlign w:val="center"/>
          </w:tcPr>
          <w:p w14:paraId="5B145AC4" w14:textId="77777777" w:rsidR="00824725" w:rsidRPr="000D3C71" w:rsidRDefault="00953439">
            <w:pPr>
              <w:pStyle w:val="a5"/>
              <w:jc w:val="right"/>
              <w:rPr>
                <w:rFonts w:ascii="Arial" w:hAnsi="Arial" w:cs="Arial"/>
                <w:color w:val="000000" w:themeColor="text1"/>
                <w:sz w:val="21"/>
                <w:szCs w:val="21"/>
              </w:rPr>
            </w:pPr>
            <w:r w:rsidRPr="000D3C71">
              <w:rPr>
                <w:rFonts w:ascii="Arial" w:hAnsi="Arial" w:cs="Arial"/>
                <w:color w:val="000000" w:themeColor="text1"/>
                <w:sz w:val="21"/>
                <w:szCs w:val="21"/>
                <w:lang w:val="en"/>
              </w:rPr>
              <w:t>-16,549,606.15</w:t>
            </w:r>
          </w:p>
        </w:tc>
      </w:tr>
      <w:tr w:rsidR="00824725" w:rsidRPr="000D3C71" w14:paraId="62E3FCCE" w14:textId="77777777">
        <w:trPr>
          <w:trHeight w:val="105"/>
        </w:trPr>
        <w:tc>
          <w:tcPr>
            <w:tcW w:w="4186" w:type="pct"/>
            <w:gridSpan w:val="5"/>
            <w:vAlign w:val="center"/>
          </w:tcPr>
          <w:p w14:paraId="71D1226B" w14:textId="77777777" w:rsidR="00824725" w:rsidRPr="000D3C71" w:rsidRDefault="00953439">
            <w:pPr>
              <w:pStyle w:val="a5"/>
              <w:rPr>
                <w:rFonts w:ascii="Arial" w:hAnsi="Arial" w:cs="Arial"/>
                <w:color w:val="000000" w:themeColor="text1"/>
                <w:sz w:val="21"/>
                <w:szCs w:val="21"/>
              </w:rPr>
            </w:pPr>
            <w:r w:rsidRPr="000D3C71">
              <w:rPr>
                <w:rFonts w:ascii="Arial" w:hAnsi="Arial" w:cs="Arial"/>
                <w:color w:val="000000" w:themeColor="text1"/>
                <w:sz w:val="21"/>
                <w:szCs w:val="21"/>
                <w:lang w:val="en"/>
              </w:rPr>
              <w:t>Income from Stock Index Futures Investment for the Period (RMB)</w:t>
            </w:r>
          </w:p>
        </w:tc>
        <w:tc>
          <w:tcPr>
            <w:tcW w:w="814" w:type="pct"/>
            <w:vAlign w:val="center"/>
          </w:tcPr>
          <w:p w14:paraId="7F225356" w14:textId="77777777" w:rsidR="00824725" w:rsidRPr="000D3C71" w:rsidRDefault="00953439">
            <w:pPr>
              <w:pStyle w:val="a5"/>
              <w:jc w:val="right"/>
              <w:rPr>
                <w:rFonts w:ascii="Arial" w:hAnsi="Arial" w:cs="Arial"/>
                <w:color w:val="000000" w:themeColor="text1"/>
                <w:sz w:val="21"/>
                <w:szCs w:val="21"/>
              </w:rPr>
            </w:pPr>
            <w:r w:rsidRPr="000D3C71">
              <w:rPr>
                <w:rFonts w:ascii="Arial" w:hAnsi="Arial" w:cs="Arial"/>
                <w:color w:val="000000" w:themeColor="text1"/>
                <w:sz w:val="21"/>
                <w:szCs w:val="21"/>
                <w:lang w:val="en"/>
              </w:rPr>
              <w:t>-24,294,689.86</w:t>
            </w:r>
          </w:p>
        </w:tc>
      </w:tr>
      <w:tr w:rsidR="00824725" w:rsidRPr="000D3C71" w14:paraId="76C5E4D0" w14:textId="77777777">
        <w:trPr>
          <w:trHeight w:val="105"/>
        </w:trPr>
        <w:tc>
          <w:tcPr>
            <w:tcW w:w="4186" w:type="pct"/>
            <w:gridSpan w:val="5"/>
            <w:vAlign w:val="center"/>
          </w:tcPr>
          <w:p w14:paraId="5F6660B2" w14:textId="77777777" w:rsidR="00824725" w:rsidRPr="000D3C71" w:rsidRDefault="00953439">
            <w:pPr>
              <w:pStyle w:val="a5"/>
              <w:rPr>
                <w:rFonts w:ascii="Arial" w:hAnsi="Arial" w:cs="Arial"/>
                <w:color w:val="000000" w:themeColor="text1"/>
                <w:sz w:val="21"/>
                <w:szCs w:val="21"/>
              </w:rPr>
            </w:pPr>
            <w:r w:rsidRPr="000D3C71">
              <w:rPr>
                <w:rFonts w:ascii="Arial" w:hAnsi="Arial" w:cs="Arial"/>
                <w:color w:val="000000" w:themeColor="text1"/>
                <w:sz w:val="21"/>
                <w:szCs w:val="21"/>
                <w:lang w:val="en"/>
              </w:rPr>
              <w:t>Change in Fair Value of Stock Index Futures Investment for the Period (RMB)</w:t>
            </w:r>
          </w:p>
        </w:tc>
        <w:tc>
          <w:tcPr>
            <w:tcW w:w="814" w:type="pct"/>
            <w:vAlign w:val="center"/>
          </w:tcPr>
          <w:p w14:paraId="75988226" w14:textId="77777777" w:rsidR="00824725" w:rsidRPr="000D3C71" w:rsidRDefault="00953439">
            <w:pPr>
              <w:pStyle w:val="a5"/>
              <w:jc w:val="right"/>
              <w:rPr>
                <w:rFonts w:ascii="Arial" w:hAnsi="Arial" w:cs="Arial"/>
                <w:color w:val="000000" w:themeColor="text1"/>
                <w:sz w:val="21"/>
                <w:szCs w:val="21"/>
              </w:rPr>
            </w:pPr>
            <w:r w:rsidRPr="000D3C71">
              <w:rPr>
                <w:rFonts w:ascii="Arial" w:hAnsi="Arial" w:cs="Arial"/>
                <w:color w:val="000000" w:themeColor="text1"/>
                <w:sz w:val="21"/>
                <w:szCs w:val="21"/>
                <w:lang w:val="en"/>
              </w:rPr>
              <w:t>-18,446,806.15</w:t>
            </w:r>
          </w:p>
        </w:tc>
      </w:tr>
    </w:tbl>
    <w:p w14:paraId="20E7E6E4" w14:textId="77777777" w:rsidR="00824725" w:rsidRPr="000D3C71" w:rsidRDefault="00953439">
      <w:pPr>
        <w:pStyle w:val="a1"/>
        <w:spacing w:before="0" w:after="0" w:line="360" w:lineRule="auto"/>
        <w:rPr>
          <w:rFonts w:ascii="Arial" w:hAnsi="Arial" w:cs="Arial"/>
          <w:b w:val="0"/>
          <w:sz w:val="21"/>
          <w:szCs w:val="21"/>
        </w:rPr>
      </w:pPr>
      <w:bookmarkStart w:id="87" w:name="_Toc211640938"/>
      <w:r w:rsidRPr="000D3C71">
        <w:rPr>
          <w:rFonts w:ascii="Arial" w:hAnsi="Arial" w:cs="Arial"/>
          <w:b w:val="0"/>
          <w:bCs w:val="0"/>
          <w:sz w:val="21"/>
          <w:szCs w:val="21"/>
          <w:lang w:val="en"/>
        </w:rPr>
        <w:t>5.9.2 Fund Investment Policy for Stock Index Futures</w:t>
      </w:r>
      <w:bookmarkEnd w:id="87"/>
    </w:p>
    <w:p w14:paraId="7B917EE2" w14:textId="77777777" w:rsidR="00824725" w:rsidRPr="000D3C71" w:rsidRDefault="00953439">
      <w:pPr>
        <w:pStyle w:val="a0"/>
        <w:spacing w:line="360" w:lineRule="auto"/>
        <w:ind w:firstLine="420"/>
        <w:jc w:val="left"/>
        <w:rPr>
          <w:rFonts w:ascii="Arial" w:hAnsi="Arial" w:cs="Arial"/>
          <w:szCs w:val="21"/>
        </w:rPr>
      </w:pPr>
      <w:r w:rsidRPr="000D3C71">
        <w:rPr>
          <w:rFonts w:ascii="Arial" w:hAnsi="Arial" w:cs="Arial"/>
          <w:szCs w:val="21"/>
          <w:lang w:val="en"/>
        </w:rPr>
        <w:t>As an index fund, the Fund primarily invests in the constituent and alternate constituent stocks of the Underlying Index. In accordance with the Fund Contract, the Fund’s cash holdings may be invested in stock index futures based on the Underlying Index or on other indices exhibiting a high correlation with it. This approach facilitates daily investment management, enhances liquidity management efficiency, and enables the Fund to more closely track the performance of the Underlying Index and achieve its investment objective.</w:t>
      </w:r>
    </w:p>
    <w:p w14:paraId="17BD9DF0" w14:textId="77777777" w:rsidR="00824725" w:rsidRPr="000D3C71" w:rsidRDefault="00953439">
      <w:pPr>
        <w:pStyle w:val="a1"/>
        <w:spacing w:before="0" w:after="0" w:line="360" w:lineRule="auto"/>
        <w:rPr>
          <w:rFonts w:ascii="Arial" w:hAnsi="Arial" w:cs="Arial"/>
          <w:b w:val="0"/>
          <w:sz w:val="21"/>
          <w:szCs w:val="21"/>
        </w:rPr>
      </w:pPr>
      <w:bookmarkStart w:id="88" w:name="_Toc211640939"/>
      <w:r w:rsidRPr="000D3C71">
        <w:rPr>
          <w:rFonts w:ascii="Arial" w:hAnsi="Arial" w:cs="Arial"/>
          <w:b w:val="0"/>
          <w:bCs w:val="0"/>
          <w:sz w:val="21"/>
          <w:szCs w:val="21"/>
          <w:lang w:val="en"/>
        </w:rPr>
        <w:t>5.10 Government Bond Futures Positions as of the End of the Reporting Period</w:t>
      </w:r>
      <w:bookmarkEnd w:id="88"/>
    </w:p>
    <w:p w14:paraId="6060C126" w14:textId="77777777" w:rsidR="00824725" w:rsidRPr="000D3C71" w:rsidRDefault="00953439">
      <w:pPr>
        <w:pStyle w:val="a1"/>
        <w:spacing w:before="0" w:after="0" w:line="360" w:lineRule="auto"/>
        <w:rPr>
          <w:rFonts w:ascii="Arial" w:hAnsi="Arial" w:cs="Arial"/>
          <w:b w:val="0"/>
          <w:sz w:val="21"/>
          <w:szCs w:val="21"/>
        </w:rPr>
      </w:pPr>
      <w:bookmarkStart w:id="89" w:name="_Toc211640940"/>
      <w:r w:rsidRPr="000D3C71">
        <w:rPr>
          <w:rFonts w:ascii="Arial" w:hAnsi="Arial" w:cs="Arial"/>
          <w:b w:val="0"/>
          <w:bCs w:val="0"/>
          <w:sz w:val="21"/>
          <w:szCs w:val="21"/>
          <w:lang w:val="en"/>
        </w:rPr>
        <w:t>5.10.1 Investment Policy for Government Bond Futures for the Period</w:t>
      </w:r>
      <w:bookmarkEnd w:id="89"/>
    </w:p>
    <w:p w14:paraId="7ADEBB26" w14:textId="77777777" w:rsidR="00824725" w:rsidRPr="000D3C71" w:rsidRDefault="00953439">
      <w:pPr>
        <w:pStyle w:val="a0"/>
        <w:spacing w:line="360" w:lineRule="auto"/>
        <w:ind w:firstLine="420"/>
        <w:jc w:val="left"/>
        <w:rPr>
          <w:rFonts w:ascii="Arial" w:hAnsi="Arial" w:cs="Arial"/>
          <w:szCs w:val="21"/>
        </w:rPr>
      </w:pPr>
      <w:r w:rsidRPr="000D3C71">
        <w:rPr>
          <w:rFonts w:ascii="Arial" w:hAnsi="Arial" w:cs="Arial"/>
          <w:szCs w:val="21"/>
          <w:lang w:val="en"/>
        </w:rPr>
        <w:t>As of the end of the reporting period, the Fund held no positions in government bond futures.</w:t>
      </w:r>
    </w:p>
    <w:p w14:paraId="4DBE93AB" w14:textId="77777777" w:rsidR="00824725" w:rsidRPr="000D3C71" w:rsidRDefault="00953439">
      <w:pPr>
        <w:pStyle w:val="a1"/>
        <w:spacing w:before="0" w:after="0" w:line="360" w:lineRule="auto"/>
        <w:rPr>
          <w:rFonts w:ascii="Arial" w:hAnsi="Arial" w:cs="Arial"/>
          <w:b w:val="0"/>
          <w:sz w:val="21"/>
          <w:szCs w:val="21"/>
        </w:rPr>
      </w:pPr>
      <w:bookmarkStart w:id="90" w:name="_Toc211640941"/>
      <w:r w:rsidRPr="000D3C71">
        <w:rPr>
          <w:rFonts w:ascii="Arial" w:hAnsi="Arial" w:cs="Arial"/>
          <w:b w:val="0"/>
          <w:bCs w:val="0"/>
          <w:sz w:val="21"/>
          <w:szCs w:val="21"/>
          <w:lang w:val="en"/>
        </w:rPr>
        <w:t>5.10.2 Government Bond Futures Positions and Profit and Loss as of the End of the Reporting Period</w:t>
      </w:r>
      <w:bookmarkEnd w:id="90"/>
    </w:p>
    <w:p w14:paraId="2333F27F" w14:textId="77777777" w:rsidR="00824725" w:rsidRPr="000D3C71" w:rsidRDefault="00953439">
      <w:pPr>
        <w:pStyle w:val="a0"/>
        <w:spacing w:line="360" w:lineRule="auto"/>
        <w:ind w:firstLine="420"/>
        <w:jc w:val="left"/>
        <w:rPr>
          <w:rFonts w:ascii="Arial" w:hAnsi="Arial" w:cs="Arial"/>
          <w:szCs w:val="21"/>
        </w:rPr>
      </w:pPr>
      <w:r w:rsidRPr="000D3C71">
        <w:rPr>
          <w:rFonts w:ascii="Arial" w:hAnsi="Arial" w:cs="Arial"/>
          <w:szCs w:val="21"/>
          <w:lang w:val="en"/>
        </w:rPr>
        <w:t>As of the end of the reporting period, the Fund held no positions in government bond futures.</w:t>
      </w:r>
    </w:p>
    <w:p w14:paraId="1AEAB0C8" w14:textId="77777777" w:rsidR="00824725" w:rsidRPr="000D3C71" w:rsidRDefault="00953439">
      <w:pPr>
        <w:pStyle w:val="a1"/>
        <w:spacing w:before="0" w:after="0" w:line="360" w:lineRule="auto"/>
        <w:rPr>
          <w:rFonts w:ascii="Arial" w:hAnsi="Arial" w:cs="Arial"/>
          <w:b w:val="0"/>
          <w:sz w:val="21"/>
          <w:szCs w:val="21"/>
        </w:rPr>
      </w:pPr>
      <w:bookmarkStart w:id="91" w:name="_Toc211640942"/>
      <w:r w:rsidRPr="000D3C71">
        <w:rPr>
          <w:rFonts w:ascii="Arial" w:hAnsi="Arial" w:cs="Arial"/>
          <w:b w:val="0"/>
          <w:bCs w:val="0"/>
          <w:sz w:val="21"/>
          <w:szCs w:val="21"/>
          <w:lang w:val="en"/>
        </w:rPr>
        <w:t>5.10.3 Evaluation of Government Bond Futures Investments for the Period</w:t>
      </w:r>
      <w:bookmarkEnd w:id="91"/>
    </w:p>
    <w:p w14:paraId="388C9670" w14:textId="77777777" w:rsidR="00824725" w:rsidRPr="000D3C71" w:rsidRDefault="00953439">
      <w:pPr>
        <w:pStyle w:val="a0"/>
        <w:spacing w:line="360" w:lineRule="auto"/>
        <w:ind w:firstLine="420"/>
        <w:jc w:val="left"/>
        <w:rPr>
          <w:rFonts w:ascii="Arial" w:hAnsi="Arial" w:cs="Arial"/>
          <w:szCs w:val="21"/>
        </w:rPr>
      </w:pPr>
      <w:r w:rsidRPr="000D3C71">
        <w:rPr>
          <w:rFonts w:ascii="Arial" w:hAnsi="Arial" w:cs="Arial"/>
          <w:szCs w:val="21"/>
          <w:lang w:val="en"/>
        </w:rPr>
        <w:t>As of the end of the reporting period, the Fund held no positions in government bond futures.</w:t>
      </w:r>
    </w:p>
    <w:p w14:paraId="04741FDB" w14:textId="77777777" w:rsidR="00824725" w:rsidRPr="000D3C71" w:rsidRDefault="00953439">
      <w:pPr>
        <w:pStyle w:val="a1"/>
        <w:spacing w:before="0" w:after="0" w:line="360" w:lineRule="auto"/>
        <w:rPr>
          <w:rFonts w:ascii="Arial" w:hAnsi="Arial" w:cs="Arial"/>
          <w:b w:val="0"/>
          <w:sz w:val="21"/>
          <w:szCs w:val="21"/>
        </w:rPr>
      </w:pPr>
      <w:bookmarkStart w:id="92" w:name="_Toc211640943"/>
      <w:r w:rsidRPr="000D3C71">
        <w:rPr>
          <w:rFonts w:ascii="Arial" w:hAnsi="Arial" w:cs="Arial"/>
          <w:b w:val="0"/>
          <w:bCs w:val="0"/>
          <w:sz w:val="21"/>
          <w:szCs w:val="21"/>
          <w:lang w:val="en"/>
        </w:rPr>
        <w:t>5.11 Notes to the Portfolio Report</w:t>
      </w:r>
      <w:bookmarkEnd w:id="92"/>
    </w:p>
    <w:p w14:paraId="75F6CDE0" w14:textId="77777777" w:rsidR="00824725" w:rsidRPr="000D3C71" w:rsidRDefault="00953439">
      <w:pPr>
        <w:pStyle w:val="a1"/>
        <w:spacing w:before="0" w:after="0" w:line="360" w:lineRule="auto"/>
        <w:rPr>
          <w:rFonts w:ascii="Arial" w:hAnsi="Arial" w:cs="Arial"/>
          <w:b w:val="0"/>
          <w:sz w:val="21"/>
          <w:szCs w:val="21"/>
        </w:rPr>
      </w:pPr>
      <w:bookmarkStart w:id="93" w:name="_Toc211640944"/>
      <w:r w:rsidRPr="000D3C71">
        <w:rPr>
          <w:rFonts w:ascii="Arial" w:hAnsi="Arial" w:cs="Arial"/>
          <w:b w:val="0"/>
          <w:bCs w:val="0"/>
          <w:sz w:val="21"/>
          <w:szCs w:val="21"/>
          <w:lang w:val="en"/>
        </w:rPr>
        <w:t>5.11.1 Among the issuers of the Fund’s top ten securities holdings, Industrial Bank Co., Ltd. and China Merchants Bank Co., Ltd. were publicly censured or penalized by regulatory authorities within one year prior to the report preparation date. As an index fund that adopts a full replication strategy—and as both China Merchants Bank and Industrial Bank are constituent securities of the Underlying Index—the investment decision-making process for these securities complies with relevant laws, regulations, and the provisions of the Fund Contract.</w:t>
      </w:r>
      <w:bookmarkEnd w:id="93"/>
    </w:p>
    <w:p w14:paraId="184508DB" w14:textId="77777777" w:rsidR="00824725" w:rsidRPr="000D3C71" w:rsidRDefault="00953439">
      <w:pPr>
        <w:pStyle w:val="a1"/>
        <w:spacing w:before="0" w:after="0" w:line="360" w:lineRule="auto"/>
        <w:rPr>
          <w:rFonts w:ascii="Arial" w:hAnsi="Arial" w:cs="Arial"/>
          <w:b w:val="0"/>
          <w:sz w:val="21"/>
          <w:szCs w:val="21"/>
        </w:rPr>
      </w:pPr>
      <w:bookmarkStart w:id="94" w:name="_Toc211640945"/>
      <w:r w:rsidRPr="000D3C71">
        <w:rPr>
          <w:rFonts w:ascii="Arial" w:hAnsi="Arial" w:cs="Arial"/>
          <w:b w:val="0"/>
          <w:bCs w:val="0"/>
          <w:sz w:val="21"/>
          <w:szCs w:val="21"/>
          <w:lang w:val="en"/>
        </w:rPr>
        <w:t>5.11.2 The Fund’s top ten stock holdings were all within the the approved stock universe specified in the Fund Contract.</w:t>
      </w:r>
      <w:bookmarkEnd w:id="94"/>
    </w:p>
    <w:p w14:paraId="2B71846A" w14:textId="77777777" w:rsidR="00824725" w:rsidRPr="000D3C71" w:rsidRDefault="00953439">
      <w:pPr>
        <w:pStyle w:val="a1"/>
        <w:spacing w:before="0" w:after="0" w:line="360" w:lineRule="auto"/>
        <w:rPr>
          <w:rFonts w:ascii="Arial" w:hAnsi="Arial" w:cs="Arial"/>
          <w:b w:val="0"/>
          <w:sz w:val="21"/>
          <w:szCs w:val="21"/>
        </w:rPr>
      </w:pPr>
      <w:bookmarkStart w:id="95" w:name="_Toc211640946"/>
      <w:r w:rsidRPr="000D3C71">
        <w:rPr>
          <w:rFonts w:ascii="Arial" w:hAnsi="Arial" w:cs="Arial"/>
          <w:b w:val="0"/>
          <w:bCs w:val="0"/>
          <w:sz w:val="21"/>
          <w:szCs w:val="21"/>
          <w:lang w:val="en"/>
        </w:rPr>
        <w:t>5.11.3 Composition of Other Assets</w:t>
      </w:r>
      <w:bookmarkEnd w:id="95"/>
    </w:p>
    <w:tbl>
      <w:tblPr>
        <w:tblStyle w:val="a7"/>
        <w:tblW w:w="0" w:type="auto"/>
        <w:tblInd w:w="108" w:type="dxa"/>
        <w:tblLayout w:type="fixed"/>
        <w:tblLook w:val="04A0" w:firstRow="1" w:lastRow="0" w:firstColumn="1" w:lastColumn="0" w:noHBand="0" w:noVBand="1"/>
      </w:tblPr>
      <w:tblGrid>
        <w:gridCol w:w="1110"/>
        <w:gridCol w:w="2536"/>
        <w:gridCol w:w="4718"/>
      </w:tblGrid>
      <w:tr w:rsidR="00824725" w:rsidRPr="000D3C71" w14:paraId="4C736D2C" w14:textId="77777777">
        <w:tc>
          <w:tcPr>
            <w:tcW w:w="1110" w:type="dxa"/>
            <w:vAlign w:val="center"/>
          </w:tcPr>
          <w:p w14:paraId="3CF19B98" w14:textId="77777777" w:rsidR="00824725" w:rsidRPr="000D3C71" w:rsidRDefault="00953439">
            <w:pPr>
              <w:autoSpaceDE w:val="0"/>
              <w:autoSpaceDN w:val="0"/>
              <w:adjustRightInd w:val="0"/>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No.</w:t>
            </w:r>
          </w:p>
        </w:tc>
        <w:tc>
          <w:tcPr>
            <w:tcW w:w="2536" w:type="dxa"/>
            <w:vAlign w:val="center"/>
          </w:tcPr>
          <w:p w14:paraId="1BEADBD4" w14:textId="77777777" w:rsidR="00824725" w:rsidRPr="000D3C71" w:rsidRDefault="00953439">
            <w:pPr>
              <w:autoSpaceDE w:val="0"/>
              <w:autoSpaceDN w:val="0"/>
              <w:adjustRightInd w:val="0"/>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Name</w:t>
            </w:r>
          </w:p>
        </w:tc>
        <w:tc>
          <w:tcPr>
            <w:tcW w:w="4718" w:type="dxa"/>
            <w:vAlign w:val="center"/>
          </w:tcPr>
          <w:p w14:paraId="1C00240B" w14:textId="77777777" w:rsidR="00824725" w:rsidRPr="000D3C71" w:rsidRDefault="00953439">
            <w:pPr>
              <w:autoSpaceDE w:val="0"/>
              <w:autoSpaceDN w:val="0"/>
              <w:adjustRightInd w:val="0"/>
              <w:spacing w:before="29" w:line="360" w:lineRule="auto"/>
              <w:ind w:left="17"/>
              <w:jc w:val="center"/>
              <w:rPr>
                <w:rFonts w:ascii="Arial" w:hAnsi="Arial" w:cs="Arial"/>
                <w:color w:val="000000" w:themeColor="text1"/>
              </w:rPr>
            </w:pPr>
            <w:r w:rsidRPr="000D3C71">
              <w:rPr>
                <w:rFonts w:ascii="Arial" w:hAnsi="Arial" w:cs="Arial"/>
                <w:color w:val="000000" w:themeColor="text1"/>
                <w:lang w:val="en"/>
              </w:rPr>
              <w:t>Amount (RMB)</w:t>
            </w:r>
          </w:p>
        </w:tc>
      </w:tr>
      <w:tr w:rsidR="00824725" w:rsidRPr="000D3C71" w14:paraId="24B91703" w14:textId="77777777">
        <w:tc>
          <w:tcPr>
            <w:tcW w:w="1110" w:type="dxa"/>
            <w:vAlign w:val="center"/>
          </w:tcPr>
          <w:p w14:paraId="03300D26" w14:textId="77777777" w:rsidR="00824725" w:rsidRPr="000D3C71" w:rsidRDefault="00953439">
            <w:pPr>
              <w:autoSpaceDE w:val="0"/>
              <w:autoSpaceDN w:val="0"/>
              <w:adjustRightInd w:val="0"/>
              <w:spacing w:before="29" w:line="360" w:lineRule="auto"/>
              <w:ind w:left="15"/>
              <w:jc w:val="center"/>
              <w:rPr>
                <w:rFonts w:ascii="Arial" w:hAnsi="Arial" w:cs="Arial"/>
                <w:color w:val="000000" w:themeColor="text1"/>
              </w:rPr>
            </w:pPr>
            <w:r w:rsidRPr="000D3C71">
              <w:rPr>
                <w:rFonts w:ascii="Arial" w:hAnsi="Arial" w:cs="Arial"/>
                <w:color w:val="000000" w:themeColor="text1"/>
                <w:lang w:val="en"/>
              </w:rPr>
              <w:t>1</w:t>
            </w:r>
          </w:p>
        </w:tc>
        <w:tc>
          <w:tcPr>
            <w:tcW w:w="2536" w:type="dxa"/>
            <w:vAlign w:val="center"/>
          </w:tcPr>
          <w:p w14:paraId="65752E50" w14:textId="77777777" w:rsidR="00824725" w:rsidRPr="000D3C71" w:rsidRDefault="00953439">
            <w:pPr>
              <w:autoSpaceDE w:val="0"/>
              <w:autoSpaceDN w:val="0"/>
              <w:adjustRightInd w:val="0"/>
              <w:spacing w:before="29" w:line="360" w:lineRule="auto"/>
              <w:ind w:left="15"/>
              <w:rPr>
                <w:rFonts w:ascii="Arial" w:hAnsi="Arial" w:cs="Arial"/>
                <w:color w:val="000000" w:themeColor="text1"/>
              </w:rPr>
            </w:pPr>
            <w:r w:rsidRPr="000D3C71">
              <w:rPr>
                <w:rFonts w:ascii="Arial" w:hAnsi="Arial" w:cs="Arial"/>
                <w:color w:val="000000" w:themeColor="text1"/>
                <w:lang w:val="en"/>
              </w:rPr>
              <w:t>Margin Deposits</w:t>
            </w:r>
          </w:p>
        </w:tc>
        <w:tc>
          <w:tcPr>
            <w:tcW w:w="4718" w:type="dxa"/>
            <w:vAlign w:val="center"/>
          </w:tcPr>
          <w:p w14:paraId="5B7EA627" w14:textId="77777777" w:rsidR="00824725" w:rsidRPr="000D3C71" w:rsidRDefault="00953439">
            <w:pPr>
              <w:autoSpaceDE w:val="0"/>
              <w:autoSpaceDN w:val="0"/>
              <w:adjustRightInd w:val="0"/>
              <w:spacing w:before="29" w:line="360" w:lineRule="auto"/>
              <w:ind w:left="15"/>
              <w:jc w:val="right"/>
              <w:rPr>
                <w:rFonts w:ascii="Arial" w:hAnsi="Arial" w:cs="Arial"/>
                <w:color w:val="000000" w:themeColor="text1"/>
              </w:rPr>
            </w:pPr>
            <w:r w:rsidRPr="000D3C71">
              <w:rPr>
                <w:rFonts w:ascii="Arial" w:hAnsi="Arial" w:cs="Arial"/>
                <w:color w:val="000000" w:themeColor="text1"/>
                <w:lang w:val="en"/>
              </w:rPr>
              <w:t>64,947,847.62</w:t>
            </w:r>
          </w:p>
        </w:tc>
      </w:tr>
      <w:tr w:rsidR="00824725" w:rsidRPr="000D3C71" w14:paraId="2E80649D" w14:textId="77777777">
        <w:tc>
          <w:tcPr>
            <w:tcW w:w="1110" w:type="dxa"/>
            <w:vAlign w:val="center"/>
          </w:tcPr>
          <w:p w14:paraId="6BB496B1" w14:textId="77777777" w:rsidR="00824725" w:rsidRPr="000D3C71" w:rsidRDefault="00953439">
            <w:pPr>
              <w:autoSpaceDE w:val="0"/>
              <w:autoSpaceDN w:val="0"/>
              <w:adjustRightInd w:val="0"/>
              <w:spacing w:before="29" w:line="360" w:lineRule="auto"/>
              <w:ind w:left="15"/>
              <w:jc w:val="center"/>
              <w:rPr>
                <w:rFonts w:ascii="Arial" w:hAnsi="Arial" w:cs="Arial"/>
                <w:color w:val="000000" w:themeColor="text1"/>
              </w:rPr>
            </w:pPr>
            <w:r w:rsidRPr="000D3C71">
              <w:rPr>
                <w:rFonts w:ascii="Arial" w:hAnsi="Arial" w:cs="Arial"/>
                <w:color w:val="000000" w:themeColor="text1"/>
                <w:lang w:val="en"/>
              </w:rPr>
              <w:t>2</w:t>
            </w:r>
          </w:p>
        </w:tc>
        <w:tc>
          <w:tcPr>
            <w:tcW w:w="2536" w:type="dxa"/>
            <w:vAlign w:val="center"/>
          </w:tcPr>
          <w:p w14:paraId="0A0604E2" w14:textId="77777777" w:rsidR="00824725" w:rsidRPr="000D3C71" w:rsidRDefault="00953439">
            <w:pPr>
              <w:autoSpaceDE w:val="0"/>
              <w:autoSpaceDN w:val="0"/>
              <w:adjustRightInd w:val="0"/>
              <w:spacing w:before="29" w:line="360" w:lineRule="auto"/>
              <w:ind w:left="15"/>
              <w:rPr>
                <w:rFonts w:ascii="Arial" w:hAnsi="Arial" w:cs="Arial"/>
                <w:color w:val="000000" w:themeColor="text1"/>
              </w:rPr>
            </w:pPr>
            <w:r w:rsidRPr="000D3C71">
              <w:rPr>
                <w:rFonts w:ascii="Arial" w:hAnsi="Arial" w:cs="Arial"/>
                <w:color w:val="000000" w:themeColor="text1"/>
                <w:lang w:val="en"/>
              </w:rPr>
              <w:t>Securities Settlement Receivables</w:t>
            </w:r>
          </w:p>
        </w:tc>
        <w:tc>
          <w:tcPr>
            <w:tcW w:w="4718" w:type="dxa"/>
            <w:vAlign w:val="center"/>
          </w:tcPr>
          <w:p w14:paraId="23F5F9E4" w14:textId="77777777" w:rsidR="00824725" w:rsidRPr="000D3C71" w:rsidRDefault="00953439">
            <w:pPr>
              <w:autoSpaceDE w:val="0"/>
              <w:autoSpaceDN w:val="0"/>
              <w:adjustRightInd w:val="0"/>
              <w:spacing w:before="29" w:line="360" w:lineRule="auto"/>
              <w:ind w:left="15"/>
              <w:jc w:val="right"/>
              <w:rPr>
                <w:rFonts w:ascii="Arial" w:hAnsi="Arial" w:cs="Arial"/>
                <w:color w:val="000000" w:themeColor="text1"/>
              </w:rPr>
            </w:pPr>
            <w:r w:rsidRPr="000D3C71">
              <w:rPr>
                <w:rFonts w:ascii="Arial" w:hAnsi="Arial" w:cs="Arial"/>
                <w:color w:val="000000" w:themeColor="text1"/>
                <w:lang w:val="en"/>
              </w:rPr>
              <w:t>59,527,243.68</w:t>
            </w:r>
          </w:p>
        </w:tc>
      </w:tr>
      <w:tr w:rsidR="00824725" w:rsidRPr="000D3C71" w14:paraId="147F099E" w14:textId="77777777">
        <w:tc>
          <w:tcPr>
            <w:tcW w:w="1110" w:type="dxa"/>
            <w:vAlign w:val="center"/>
          </w:tcPr>
          <w:p w14:paraId="0EA0AB23" w14:textId="77777777" w:rsidR="00824725" w:rsidRPr="000D3C71" w:rsidRDefault="00953439">
            <w:pPr>
              <w:autoSpaceDE w:val="0"/>
              <w:autoSpaceDN w:val="0"/>
              <w:adjustRightInd w:val="0"/>
              <w:spacing w:before="29" w:line="360" w:lineRule="auto"/>
              <w:ind w:left="15"/>
              <w:jc w:val="center"/>
              <w:rPr>
                <w:rFonts w:ascii="Arial" w:hAnsi="Arial" w:cs="Arial"/>
                <w:color w:val="000000" w:themeColor="text1"/>
              </w:rPr>
            </w:pPr>
            <w:r w:rsidRPr="000D3C71">
              <w:rPr>
                <w:rFonts w:ascii="Arial" w:hAnsi="Arial" w:cs="Arial"/>
                <w:color w:val="000000" w:themeColor="text1"/>
                <w:lang w:val="en"/>
              </w:rPr>
              <w:t>3</w:t>
            </w:r>
          </w:p>
        </w:tc>
        <w:tc>
          <w:tcPr>
            <w:tcW w:w="2536" w:type="dxa"/>
            <w:vAlign w:val="center"/>
          </w:tcPr>
          <w:p w14:paraId="44D217DC" w14:textId="77777777" w:rsidR="00824725" w:rsidRPr="000D3C71" w:rsidRDefault="00953439">
            <w:pPr>
              <w:autoSpaceDE w:val="0"/>
              <w:autoSpaceDN w:val="0"/>
              <w:adjustRightInd w:val="0"/>
              <w:spacing w:before="29" w:line="360" w:lineRule="auto"/>
              <w:ind w:left="15"/>
              <w:rPr>
                <w:rFonts w:ascii="Arial" w:hAnsi="Arial" w:cs="Arial"/>
                <w:color w:val="000000" w:themeColor="text1"/>
              </w:rPr>
            </w:pPr>
            <w:r w:rsidRPr="000D3C71">
              <w:rPr>
                <w:rFonts w:ascii="Arial" w:hAnsi="Arial" w:cs="Arial"/>
                <w:color w:val="000000" w:themeColor="text1"/>
                <w:lang w:val="en"/>
              </w:rPr>
              <w:t>Dividends Receivable</w:t>
            </w:r>
          </w:p>
        </w:tc>
        <w:tc>
          <w:tcPr>
            <w:tcW w:w="4718" w:type="dxa"/>
            <w:vAlign w:val="center"/>
          </w:tcPr>
          <w:p w14:paraId="4AEA2AF6" w14:textId="77777777" w:rsidR="00824725" w:rsidRPr="000D3C71" w:rsidRDefault="00953439">
            <w:pPr>
              <w:autoSpaceDE w:val="0"/>
              <w:autoSpaceDN w:val="0"/>
              <w:adjustRightInd w:val="0"/>
              <w:spacing w:before="29" w:line="360" w:lineRule="auto"/>
              <w:ind w:left="15"/>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56FA53DA" w14:textId="77777777">
        <w:tc>
          <w:tcPr>
            <w:tcW w:w="1110" w:type="dxa"/>
            <w:vAlign w:val="center"/>
          </w:tcPr>
          <w:p w14:paraId="68A0BB9A" w14:textId="77777777" w:rsidR="00824725" w:rsidRPr="000D3C71" w:rsidRDefault="00953439">
            <w:pPr>
              <w:autoSpaceDE w:val="0"/>
              <w:autoSpaceDN w:val="0"/>
              <w:adjustRightInd w:val="0"/>
              <w:spacing w:before="29" w:line="360" w:lineRule="auto"/>
              <w:ind w:left="15"/>
              <w:jc w:val="center"/>
              <w:rPr>
                <w:rFonts w:ascii="Arial" w:hAnsi="Arial" w:cs="Arial"/>
                <w:color w:val="000000" w:themeColor="text1"/>
              </w:rPr>
            </w:pPr>
            <w:r w:rsidRPr="000D3C71">
              <w:rPr>
                <w:rFonts w:ascii="Arial" w:hAnsi="Arial" w:cs="Arial"/>
                <w:color w:val="000000" w:themeColor="text1"/>
                <w:lang w:val="en"/>
              </w:rPr>
              <w:t>4</w:t>
            </w:r>
          </w:p>
        </w:tc>
        <w:tc>
          <w:tcPr>
            <w:tcW w:w="2536" w:type="dxa"/>
            <w:vAlign w:val="center"/>
          </w:tcPr>
          <w:p w14:paraId="7949EE8A" w14:textId="77777777" w:rsidR="00824725" w:rsidRPr="000D3C71" w:rsidRDefault="00953439">
            <w:pPr>
              <w:autoSpaceDE w:val="0"/>
              <w:autoSpaceDN w:val="0"/>
              <w:adjustRightInd w:val="0"/>
              <w:spacing w:before="29" w:line="360" w:lineRule="auto"/>
              <w:ind w:left="15"/>
              <w:rPr>
                <w:rFonts w:ascii="Arial" w:hAnsi="Arial" w:cs="Arial"/>
                <w:color w:val="000000" w:themeColor="text1"/>
              </w:rPr>
            </w:pPr>
            <w:r w:rsidRPr="000D3C71">
              <w:rPr>
                <w:rFonts w:ascii="Arial" w:hAnsi="Arial" w:cs="Arial"/>
                <w:color w:val="000000" w:themeColor="text1"/>
                <w:lang w:val="en"/>
              </w:rPr>
              <w:t>Interest Receivable</w:t>
            </w:r>
          </w:p>
        </w:tc>
        <w:tc>
          <w:tcPr>
            <w:tcW w:w="4718" w:type="dxa"/>
            <w:vAlign w:val="center"/>
          </w:tcPr>
          <w:p w14:paraId="24511E0B" w14:textId="77777777" w:rsidR="00824725" w:rsidRPr="000D3C71" w:rsidRDefault="00953439">
            <w:pPr>
              <w:autoSpaceDE w:val="0"/>
              <w:autoSpaceDN w:val="0"/>
              <w:adjustRightInd w:val="0"/>
              <w:spacing w:before="29" w:line="360" w:lineRule="auto"/>
              <w:ind w:left="15"/>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60B0A3D9" w14:textId="77777777">
        <w:tc>
          <w:tcPr>
            <w:tcW w:w="1110" w:type="dxa"/>
            <w:vAlign w:val="center"/>
          </w:tcPr>
          <w:p w14:paraId="5C6FB373" w14:textId="77777777" w:rsidR="00824725" w:rsidRPr="000D3C71" w:rsidRDefault="00953439">
            <w:pPr>
              <w:autoSpaceDE w:val="0"/>
              <w:autoSpaceDN w:val="0"/>
              <w:adjustRightInd w:val="0"/>
              <w:spacing w:before="29" w:line="360" w:lineRule="auto"/>
              <w:ind w:left="15"/>
              <w:jc w:val="center"/>
              <w:rPr>
                <w:rFonts w:ascii="Arial" w:hAnsi="Arial" w:cs="Arial"/>
                <w:color w:val="000000" w:themeColor="text1"/>
              </w:rPr>
            </w:pPr>
            <w:r w:rsidRPr="000D3C71">
              <w:rPr>
                <w:rFonts w:ascii="Arial" w:hAnsi="Arial" w:cs="Arial"/>
                <w:color w:val="000000" w:themeColor="text1"/>
                <w:lang w:val="en"/>
              </w:rPr>
              <w:t>5</w:t>
            </w:r>
          </w:p>
        </w:tc>
        <w:tc>
          <w:tcPr>
            <w:tcW w:w="2536" w:type="dxa"/>
            <w:vAlign w:val="center"/>
          </w:tcPr>
          <w:p w14:paraId="44443A23" w14:textId="77777777" w:rsidR="00824725" w:rsidRPr="000D3C71" w:rsidRDefault="00953439">
            <w:pPr>
              <w:autoSpaceDE w:val="0"/>
              <w:autoSpaceDN w:val="0"/>
              <w:adjustRightInd w:val="0"/>
              <w:spacing w:before="29" w:line="360" w:lineRule="auto"/>
              <w:ind w:left="15"/>
              <w:rPr>
                <w:rFonts w:ascii="Arial" w:hAnsi="Arial" w:cs="Arial"/>
                <w:color w:val="000000" w:themeColor="text1"/>
              </w:rPr>
            </w:pPr>
            <w:r w:rsidRPr="000D3C71">
              <w:rPr>
                <w:rFonts w:ascii="Arial" w:hAnsi="Arial" w:cs="Arial"/>
                <w:color w:val="000000" w:themeColor="text1"/>
                <w:lang w:val="en"/>
              </w:rPr>
              <w:t>Receivables from creation transactions</w:t>
            </w:r>
          </w:p>
        </w:tc>
        <w:tc>
          <w:tcPr>
            <w:tcW w:w="4718" w:type="dxa"/>
            <w:vAlign w:val="center"/>
          </w:tcPr>
          <w:p w14:paraId="0877381F" w14:textId="77777777" w:rsidR="00824725" w:rsidRPr="000D3C71" w:rsidRDefault="00953439">
            <w:pPr>
              <w:autoSpaceDE w:val="0"/>
              <w:autoSpaceDN w:val="0"/>
              <w:adjustRightInd w:val="0"/>
              <w:spacing w:before="29" w:line="360" w:lineRule="auto"/>
              <w:ind w:left="15"/>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61C2D066" w14:textId="77777777">
        <w:tc>
          <w:tcPr>
            <w:tcW w:w="1110" w:type="dxa"/>
            <w:vAlign w:val="center"/>
          </w:tcPr>
          <w:p w14:paraId="738AAA93" w14:textId="77777777" w:rsidR="00824725" w:rsidRPr="000D3C71" w:rsidRDefault="00953439">
            <w:pPr>
              <w:autoSpaceDE w:val="0"/>
              <w:autoSpaceDN w:val="0"/>
              <w:adjustRightInd w:val="0"/>
              <w:spacing w:before="29" w:line="360" w:lineRule="auto"/>
              <w:ind w:left="15"/>
              <w:jc w:val="center"/>
              <w:rPr>
                <w:rFonts w:ascii="Arial" w:hAnsi="Arial" w:cs="Arial"/>
                <w:color w:val="000000" w:themeColor="text1"/>
              </w:rPr>
            </w:pPr>
            <w:r w:rsidRPr="000D3C71">
              <w:rPr>
                <w:rFonts w:ascii="Arial" w:hAnsi="Arial" w:cs="Arial"/>
                <w:color w:val="000000" w:themeColor="text1"/>
                <w:lang w:val="en"/>
              </w:rPr>
              <w:t>6</w:t>
            </w:r>
          </w:p>
        </w:tc>
        <w:tc>
          <w:tcPr>
            <w:tcW w:w="2536" w:type="dxa"/>
            <w:vAlign w:val="center"/>
          </w:tcPr>
          <w:p w14:paraId="29BEB513" w14:textId="77777777" w:rsidR="00824725" w:rsidRPr="000D3C71" w:rsidRDefault="00953439">
            <w:pPr>
              <w:autoSpaceDE w:val="0"/>
              <w:autoSpaceDN w:val="0"/>
              <w:adjustRightInd w:val="0"/>
              <w:spacing w:before="29" w:line="360" w:lineRule="auto"/>
              <w:ind w:left="15"/>
              <w:rPr>
                <w:rFonts w:ascii="Arial" w:hAnsi="Arial" w:cs="Arial"/>
                <w:color w:val="000000" w:themeColor="text1"/>
              </w:rPr>
            </w:pPr>
            <w:r w:rsidRPr="000D3C71">
              <w:rPr>
                <w:rFonts w:ascii="Arial" w:hAnsi="Arial" w:cs="Arial"/>
                <w:color w:val="000000" w:themeColor="text1"/>
                <w:lang w:val="en"/>
              </w:rPr>
              <w:t>Other Receivables</w:t>
            </w:r>
          </w:p>
        </w:tc>
        <w:tc>
          <w:tcPr>
            <w:tcW w:w="4718" w:type="dxa"/>
            <w:vAlign w:val="center"/>
          </w:tcPr>
          <w:p w14:paraId="1435747E" w14:textId="77777777" w:rsidR="00824725" w:rsidRPr="000D3C71" w:rsidRDefault="00953439">
            <w:pPr>
              <w:autoSpaceDE w:val="0"/>
              <w:autoSpaceDN w:val="0"/>
              <w:adjustRightInd w:val="0"/>
              <w:spacing w:before="29" w:line="360" w:lineRule="auto"/>
              <w:ind w:left="15"/>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10FA410C" w14:textId="77777777">
        <w:tc>
          <w:tcPr>
            <w:tcW w:w="1110" w:type="dxa"/>
            <w:vAlign w:val="center"/>
          </w:tcPr>
          <w:p w14:paraId="09C1D5F7" w14:textId="77777777" w:rsidR="00824725" w:rsidRPr="000D3C71" w:rsidRDefault="00953439">
            <w:pPr>
              <w:autoSpaceDE w:val="0"/>
              <w:autoSpaceDN w:val="0"/>
              <w:adjustRightInd w:val="0"/>
              <w:spacing w:before="29" w:line="360" w:lineRule="auto"/>
              <w:ind w:left="15"/>
              <w:jc w:val="center"/>
              <w:rPr>
                <w:rFonts w:ascii="Arial" w:hAnsi="Arial" w:cs="Arial"/>
                <w:color w:val="000000" w:themeColor="text1"/>
              </w:rPr>
            </w:pPr>
            <w:r w:rsidRPr="000D3C71">
              <w:rPr>
                <w:rFonts w:ascii="Arial" w:hAnsi="Arial" w:cs="Arial"/>
                <w:color w:val="000000" w:themeColor="text1"/>
                <w:lang w:val="en"/>
              </w:rPr>
              <w:t>7</w:t>
            </w:r>
          </w:p>
        </w:tc>
        <w:tc>
          <w:tcPr>
            <w:tcW w:w="2536" w:type="dxa"/>
            <w:vAlign w:val="center"/>
          </w:tcPr>
          <w:p w14:paraId="6C3A1056" w14:textId="77777777" w:rsidR="00824725" w:rsidRPr="000D3C71" w:rsidRDefault="00953439">
            <w:pPr>
              <w:autoSpaceDE w:val="0"/>
              <w:autoSpaceDN w:val="0"/>
              <w:adjustRightInd w:val="0"/>
              <w:spacing w:before="29" w:line="360" w:lineRule="auto"/>
              <w:ind w:left="15"/>
              <w:rPr>
                <w:rFonts w:ascii="Arial" w:hAnsi="Arial" w:cs="Arial"/>
                <w:color w:val="000000" w:themeColor="text1"/>
              </w:rPr>
            </w:pPr>
            <w:r w:rsidRPr="000D3C71">
              <w:rPr>
                <w:rFonts w:ascii="Arial" w:hAnsi="Arial" w:cs="Arial"/>
                <w:color w:val="000000" w:themeColor="text1"/>
                <w:lang w:val="en"/>
              </w:rPr>
              <w:t>Deferred Expenses</w:t>
            </w:r>
          </w:p>
        </w:tc>
        <w:tc>
          <w:tcPr>
            <w:tcW w:w="4718" w:type="dxa"/>
            <w:vAlign w:val="center"/>
          </w:tcPr>
          <w:p w14:paraId="0A91A882" w14:textId="77777777" w:rsidR="00824725" w:rsidRPr="000D3C71" w:rsidRDefault="00953439">
            <w:pPr>
              <w:autoSpaceDE w:val="0"/>
              <w:autoSpaceDN w:val="0"/>
              <w:adjustRightInd w:val="0"/>
              <w:spacing w:before="29" w:line="360" w:lineRule="auto"/>
              <w:ind w:left="15"/>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4BD45C71" w14:textId="77777777">
        <w:tc>
          <w:tcPr>
            <w:tcW w:w="1110" w:type="dxa"/>
            <w:vAlign w:val="center"/>
          </w:tcPr>
          <w:p w14:paraId="6B9E1737" w14:textId="77777777" w:rsidR="00824725" w:rsidRPr="000D3C71" w:rsidRDefault="00953439">
            <w:pPr>
              <w:autoSpaceDE w:val="0"/>
              <w:autoSpaceDN w:val="0"/>
              <w:adjustRightInd w:val="0"/>
              <w:spacing w:before="29" w:line="360" w:lineRule="auto"/>
              <w:ind w:left="15"/>
              <w:jc w:val="center"/>
              <w:rPr>
                <w:rFonts w:ascii="Arial" w:hAnsi="Arial" w:cs="Arial"/>
                <w:color w:val="000000" w:themeColor="text1"/>
              </w:rPr>
            </w:pPr>
            <w:r w:rsidRPr="000D3C71">
              <w:rPr>
                <w:rFonts w:ascii="Arial" w:hAnsi="Arial" w:cs="Arial"/>
                <w:color w:val="000000" w:themeColor="text1"/>
                <w:lang w:val="en"/>
              </w:rPr>
              <w:t>8</w:t>
            </w:r>
          </w:p>
        </w:tc>
        <w:tc>
          <w:tcPr>
            <w:tcW w:w="2536" w:type="dxa"/>
            <w:vAlign w:val="center"/>
          </w:tcPr>
          <w:p w14:paraId="2AED791D" w14:textId="77777777" w:rsidR="00824725" w:rsidRPr="000D3C71" w:rsidRDefault="00953439">
            <w:pPr>
              <w:autoSpaceDE w:val="0"/>
              <w:autoSpaceDN w:val="0"/>
              <w:adjustRightInd w:val="0"/>
              <w:spacing w:before="29" w:line="360" w:lineRule="auto"/>
              <w:ind w:left="15"/>
              <w:rPr>
                <w:rFonts w:ascii="Arial" w:hAnsi="Arial" w:cs="Arial"/>
                <w:color w:val="000000" w:themeColor="text1"/>
              </w:rPr>
            </w:pPr>
            <w:r w:rsidRPr="000D3C71">
              <w:rPr>
                <w:rFonts w:ascii="Arial" w:hAnsi="Arial" w:cs="Arial"/>
                <w:color w:val="000000" w:themeColor="text1"/>
                <w:lang w:val="en"/>
              </w:rPr>
              <w:t>Other</w:t>
            </w:r>
          </w:p>
        </w:tc>
        <w:tc>
          <w:tcPr>
            <w:tcW w:w="4718" w:type="dxa"/>
            <w:vAlign w:val="center"/>
          </w:tcPr>
          <w:p w14:paraId="734C292B" w14:textId="77777777" w:rsidR="00824725" w:rsidRPr="000D3C71" w:rsidRDefault="00953439">
            <w:pPr>
              <w:autoSpaceDE w:val="0"/>
              <w:autoSpaceDN w:val="0"/>
              <w:adjustRightInd w:val="0"/>
              <w:spacing w:before="29" w:line="360" w:lineRule="auto"/>
              <w:ind w:left="15"/>
              <w:jc w:val="right"/>
              <w:rPr>
                <w:rFonts w:ascii="Arial" w:hAnsi="Arial" w:cs="Arial"/>
                <w:color w:val="000000" w:themeColor="text1"/>
              </w:rPr>
            </w:pPr>
            <w:r w:rsidRPr="000D3C71">
              <w:rPr>
                <w:rFonts w:ascii="Arial" w:hAnsi="Arial" w:cs="Arial"/>
                <w:color w:val="000000" w:themeColor="text1"/>
                <w:lang w:val="en"/>
              </w:rPr>
              <w:t>-</w:t>
            </w:r>
          </w:p>
        </w:tc>
      </w:tr>
      <w:tr w:rsidR="00824725" w:rsidRPr="000D3C71" w14:paraId="7B35CF09" w14:textId="77777777">
        <w:tc>
          <w:tcPr>
            <w:tcW w:w="1110" w:type="dxa"/>
            <w:vAlign w:val="center"/>
          </w:tcPr>
          <w:p w14:paraId="2CEB44C7" w14:textId="77777777" w:rsidR="00824725" w:rsidRPr="000D3C71" w:rsidRDefault="00953439">
            <w:pPr>
              <w:autoSpaceDE w:val="0"/>
              <w:autoSpaceDN w:val="0"/>
              <w:adjustRightInd w:val="0"/>
              <w:spacing w:before="29" w:line="360" w:lineRule="auto"/>
              <w:ind w:left="15"/>
              <w:jc w:val="center"/>
              <w:rPr>
                <w:rFonts w:ascii="Arial" w:hAnsi="Arial" w:cs="Arial"/>
                <w:color w:val="000000" w:themeColor="text1"/>
              </w:rPr>
            </w:pPr>
            <w:r w:rsidRPr="000D3C71">
              <w:rPr>
                <w:rFonts w:ascii="Arial" w:hAnsi="Arial" w:cs="Arial"/>
                <w:color w:val="000000" w:themeColor="text1"/>
                <w:lang w:val="en"/>
              </w:rPr>
              <w:t>9</w:t>
            </w:r>
          </w:p>
        </w:tc>
        <w:tc>
          <w:tcPr>
            <w:tcW w:w="2536" w:type="dxa"/>
            <w:vAlign w:val="center"/>
          </w:tcPr>
          <w:p w14:paraId="58BA4515" w14:textId="77777777" w:rsidR="00824725" w:rsidRPr="000D3C71" w:rsidRDefault="00953439">
            <w:pPr>
              <w:autoSpaceDE w:val="0"/>
              <w:autoSpaceDN w:val="0"/>
              <w:adjustRightInd w:val="0"/>
              <w:spacing w:before="29" w:line="360" w:lineRule="auto"/>
              <w:ind w:left="15"/>
              <w:rPr>
                <w:rFonts w:ascii="Arial" w:hAnsi="Arial" w:cs="Arial"/>
                <w:color w:val="000000" w:themeColor="text1"/>
              </w:rPr>
            </w:pPr>
            <w:r w:rsidRPr="000D3C71">
              <w:rPr>
                <w:rFonts w:ascii="Arial" w:hAnsi="Arial" w:cs="Arial"/>
                <w:color w:val="000000" w:themeColor="text1"/>
                <w:lang w:val="en"/>
              </w:rPr>
              <w:t>Total</w:t>
            </w:r>
          </w:p>
        </w:tc>
        <w:tc>
          <w:tcPr>
            <w:tcW w:w="4718" w:type="dxa"/>
            <w:vAlign w:val="center"/>
          </w:tcPr>
          <w:p w14:paraId="7CF918B5" w14:textId="77777777" w:rsidR="00824725" w:rsidRPr="000D3C71" w:rsidRDefault="00953439">
            <w:pPr>
              <w:autoSpaceDE w:val="0"/>
              <w:autoSpaceDN w:val="0"/>
              <w:adjustRightInd w:val="0"/>
              <w:spacing w:before="29" w:line="360" w:lineRule="auto"/>
              <w:ind w:left="15"/>
              <w:jc w:val="right"/>
              <w:rPr>
                <w:rFonts w:ascii="Arial" w:hAnsi="Arial" w:cs="Arial"/>
                <w:color w:val="000000" w:themeColor="text1"/>
              </w:rPr>
            </w:pPr>
            <w:r w:rsidRPr="000D3C71">
              <w:rPr>
                <w:rFonts w:ascii="Arial" w:hAnsi="Arial" w:cs="Arial"/>
                <w:color w:val="000000" w:themeColor="text1"/>
                <w:lang w:val="en"/>
              </w:rPr>
              <w:t>124,475,091.30</w:t>
            </w:r>
          </w:p>
        </w:tc>
      </w:tr>
    </w:tbl>
    <w:p w14:paraId="5A549310" w14:textId="77777777" w:rsidR="00824725" w:rsidRPr="000D3C71" w:rsidRDefault="00953439">
      <w:pPr>
        <w:pStyle w:val="a1"/>
        <w:spacing w:before="0" w:after="0" w:line="360" w:lineRule="auto"/>
        <w:rPr>
          <w:rFonts w:ascii="Arial" w:hAnsi="Arial" w:cs="Arial"/>
          <w:b w:val="0"/>
          <w:sz w:val="21"/>
          <w:szCs w:val="21"/>
        </w:rPr>
      </w:pPr>
      <w:bookmarkStart w:id="96" w:name="_Toc211640947"/>
      <w:r w:rsidRPr="000D3C71">
        <w:rPr>
          <w:rFonts w:ascii="Arial" w:hAnsi="Arial" w:cs="Arial"/>
          <w:b w:val="0"/>
          <w:bCs w:val="0"/>
          <w:sz w:val="21"/>
          <w:szCs w:val="21"/>
          <w:lang w:val="en"/>
        </w:rPr>
        <w:t>5.11.4 Convertible Bonds in Conversion Period Held as of the End of the Reporting Period</w:t>
      </w:r>
      <w:bookmarkEnd w:id="96"/>
    </w:p>
    <w:p w14:paraId="799AC452" w14:textId="77777777" w:rsidR="00824725" w:rsidRPr="000D3C71" w:rsidRDefault="00953439">
      <w:pPr>
        <w:pStyle w:val="a0"/>
        <w:spacing w:line="360" w:lineRule="auto"/>
        <w:ind w:firstLine="420"/>
        <w:jc w:val="left"/>
        <w:rPr>
          <w:rFonts w:ascii="Arial" w:hAnsi="Arial" w:cs="Arial"/>
          <w:szCs w:val="21"/>
        </w:rPr>
      </w:pPr>
      <w:r w:rsidRPr="000D3C71">
        <w:rPr>
          <w:rFonts w:ascii="Arial" w:hAnsi="Arial" w:cs="Arial"/>
          <w:szCs w:val="21"/>
          <w:lang w:val="en"/>
        </w:rPr>
        <w:t>As of the end of the reporting period, the Fund held no convertible bonds in their conversion period.</w:t>
      </w:r>
    </w:p>
    <w:p w14:paraId="416A7321" w14:textId="77777777" w:rsidR="00824725" w:rsidRPr="000D3C71" w:rsidRDefault="00953439">
      <w:pPr>
        <w:pStyle w:val="a1"/>
        <w:spacing w:before="0" w:after="0" w:line="360" w:lineRule="auto"/>
        <w:rPr>
          <w:rFonts w:ascii="Arial" w:hAnsi="Arial" w:cs="Arial"/>
          <w:b w:val="0"/>
          <w:sz w:val="21"/>
          <w:szCs w:val="21"/>
        </w:rPr>
      </w:pPr>
      <w:bookmarkStart w:id="97" w:name="_Toc211640948"/>
      <w:r w:rsidRPr="000D3C71">
        <w:rPr>
          <w:rFonts w:ascii="Arial" w:hAnsi="Arial" w:cs="Arial"/>
          <w:b w:val="0"/>
          <w:bCs w:val="0"/>
          <w:sz w:val="21"/>
          <w:szCs w:val="21"/>
          <w:lang w:val="en"/>
        </w:rPr>
        <w:t>5.11.5 Disclosure on Trading Restrictions within the Top Ten Stock Holdings as of the End of the Reporting Period</w:t>
      </w:r>
      <w:bookmarkEnd w:id="97"/>
    </w:p>
    <w:p w14:paraId="2BCF7DD9" w14:textId="77777777" w:rsidR="00824725" w:rsidRPr="000D3C71" w:rsidRDefault="00953439">
      <w:pPr>
        <w:pStyle w:val="a0"/>
        <w:spacing w:line="360" w:lineRule="auto"/>
        <w:ind w:firstLine="420"/>
        <w:jc w:val="left"/>
        <w:rPr>
          <w:rFonts w:ascii="Arial" w:hAnsi="Arial" w:cs="Arial"/>
          <w:szCs w:val="21"/>
        </w:rPr>
      </w:pPr>
      <w:r w:rsidRPr="000D3C71">
        <w:rPr>
          <w:rFonts w:ascii="Arial" w:hAnsi="Arial" w:cs="Arial"/>
          <w:szCs w:val="21"/>
          <w:lang w:val="en"/>
        </w:rPr>
        <w:t>As of the end of the reporting period, none of the Fund’s top ten stock holdings were subject to trading restrictions.</w:t>
      </w:r>
    </w:p>
    <w:p w14:paraId="521BC4E6" w14:textId="77777777" w:rsidR="00824725" w:rsidRPr="000D3C71" w:rsidRDefault="00953439">
      <w:pPr>
        <w:pStyle w:val="a1"/>
        <w:spacing w:before="0" w:after="0" w:line="360" w:lineRule="auto"/>
        <w:rPr>
          <w:rFonts w:ascii="Arial" w:hAnsi="Arial" w:cs="Arial"/>
          <w:b w:val="0"/>
          <w:sz w:val="21"/>
          <w:szCs w:val="21"/>
        </w:rPr>
      </w:pPr>
      <w:bookmarkStart w:id="98" w:name="_Toc211640949"/>
      <w:r w:rsidRPr="000D3C71">
        <w:rPr>
          <w:rFonts w:ascii="Arial" w:hAnsi="Arial" w:cs="Arial"/>
          <w:b w:val="0"/>
          <w:bCs w:val="0"/>
          <w:sz w:val="21"/>
          <w:szCs w:val="21"/>
          <w:lang w:val="en"/>
        </w:rPr>
        <w:t>5.11.6 Other Explanatory Notes</w:t>
      </w:r>
      <w:bookmarkEnd w:id="98"/>
    </w:p>
    <w:p w14:paraId="0E5D87F2" w14:textId="77777777" w:rsidR="00824725" w:rsidRPr="000D3C71" w:rsidRDefault="00953439">
      <w:pPr>
        <w:pStyle w:val="a0"/>
        <w:spacing w:line="360" w:lineRule="auto"/>
        <w:ind w:firstLine="420"/>
        <w:jc w:val="left"/>
        <w:rPr>
          <w:rFonts w:ascii="Arial" w:hAnsi="Arial" w:cs="Arial"/>
          <w:szCs w:val="21"/>
        </w:rPr>
      </w:pPr>
      <w:r w:rsidRPr="000D3C71">
        <w:rPr>
          <w:rFonts w:ascii="Arial" w:hAnsi="Arial" w:cs="Arial"/>
          <w:szCs w:val="21"/>
          <w:lang w:val="en"/>
        </w:rPr>
        <w:t>Minor discrepancies between the subtotals and totals may exist due to rounding.</w:t>
      </w:r>
    </w:p>
    <w:p w14:paraId="353500F8" w14:textId="77777777" w:rsidR="00177AC5" w:rsidRPr="000D3C71" w:rsidRDefault="00953439" w:rsidP="00177AC5">
      <w:pPr>
        <w:pStyle w:val="Heading3"/>
        <w:rPr>
          <w:rFonts w:ascii="Arial" w:hAnsi="Arial" w:cs="Arial"/>
        </w:rPr>
      </w:pPr>
      <w:bookmarkStart w:id="99" w:name="_Toc349857716"/>
      <w:bookmarkStart w:id="100" w:name="_Toc329633096"/>
      <w:bookmarkStart w:id="101" w:name="_Toc340435525"/>
      <w:bookmarkStart w:id="102" w:name="_Toc340435595"/>
      <w:bookmarkStart w:id="103" w:name="_Toc127083926"/>
      <w:bookmarkStart w:id="104" w:name="_Toc211640950"/>
      <w:r w:rsidRPr="000D3C71">
        <w:rPr>
          <w:rFonts w:ascii="Arial" w:hAnsi="Arial" w:cs="Arial"/>
          <w:bCs/>
          <w:lang w:val="en"/>
        </w:rPr>
        <w:t>XI. Fund Performance</w:t>
      </w:r>
      <w:bookmarkEnd w:id="99"/>
      <w:bookmarkEnd w:id="104"/>
    </w:p>
    <w:p w14:paraId="4D72EA75" w14:textId="77777777" w:rsidR="00177AC5" w:rsidRPr="000D3C71" w:rsidRDefault="00953439" w:rsidP="00503FB4">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The Fund Manager manages and utilizes the Fund Property in accordance with the principles of diligence, good faith, prudence, and professionalism, but does not guarantee that the Fund will achieve profitability or any minimum level of return. The Fund’s past performance is not indicative of its future results. Investment involves risks. Investors should carefully read the Fund’s Prospectus before making any investment decisions.</w:t>
      </w:r>
    </w:p>
    <w:p w14:paraId="4C996577" w14:textId="77777777" w:rsidR="00177AC5"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The Fund performance figures presented below do not include any fees that Fund Unitholders may incur when subscribing to or trading the Fund. Consequently, actual returns after these fees are deducted will be lower than the figures shown.</w:t>
      </w:r>
    </w:p>
    <w:tbl>
      <w:tblPr>
        <w:tblW w:w="97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824725" w:rsidRPr="000D3C71" w14:paraId="7F3696BB" w14:textId="77777777">
        <w:tc>
          <w:tcPr>
            <w:tcW w:w="1620" w:type="dxa"/>
            <w:vAlign w:val="center"/>
          </w:tcPr>
          <w:p w14:paraId="33D673B4"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Period</w:t>
            </w:r>
          </w:p>
        </w:tc>
        <w:tc>
          <w:tcPr>
            <w:tcW w:w="1350" w:type="dxa"/>
            <w:vAlign w:val="center"/>
          </w:tcPr>
          <w:p w14:paraId="45218254"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 xml:space="preserve">NAV per Unit Growth Rate </w:t>
            </w:r>
            <w:r w:rsidRPr="000D3C71">
              <w:rPr>
                <w:rFonts w:ascii="Cambria Math" w:hAnsi="Cambria Math" w:cs="Cambria Math"/>
                <w:color w:val="000000"/>
                <w:lang w:val="en"/>
              </w:rPr>
              <w:t>①</w:t>
            </w:r>
          </w:p>
        </w:tc>
        <w:tc>
          <w:tcPr>
            <w:tcW w:w="1350" w:type="dxa"/>
            <w:vAlign w:val="center"/>
          </w:tcPr>
          <w:p w14:paraId="3191A45D"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 xml:space="preserve">Standard Deviation of NAV per Unit Growth Rate </w:t>
            </w:r>
            <w:r w:rsidRPr="000D3C71">
              <w:rPr>
                <w:rFonts w:ascii="Cambria Math" w:hAnsi="Cambria Math" w:cs="Cambria Math"/>
                <w:color w:val="000000"/>
                <w:lang w:val="en"/>
              </w:rPr>
              <w:t>②</w:t>
            </w:r>
          </w:p>
        </w:tc>
        <w:tc>
          <w:tcPr>
            <w:tcW w:w="1350" w:type="dxa"/>
            <w:vAlign w:val="center"/>
          </w:tcPr>
          <w:p w14:paraId="3B5B4114"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 xml:space="preserve">Benchmark Return </w:t>
            </w:r>
            <w:r w:rsidRPr="000D3C71">
              <w:rPr>
                <w:rFonts w:ascii="Cambria Math" w:hAnsi="Cambria Math" w:cs="Cambria Math"/>
                <w:color w:val="000000"/>
                <w:lang w:val="en"/>
              </w:rPr>
              <w:t>③</w:t>
            </w:r>
          </w:p>
        </w:tc>
        <w:tc>
          <w:tcPr>
            <w:tcW w:w="1350" w:type="dxa"/>
            <w:vAlign w:val="center"/>
          </w:tcPr>
          <w:p w14:paraId="36DC6612"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 xml:space="preserve">Standard Deviation of Benchmark Return </w:t>
            </w:r>
            <w:r w:rsidRPr="000D3C71">
              <w:rPr>
                <w:rFonts w:ascii="Cambria Math" w:hAnsi="Cambria Math" w:cs="Cambria Math"/>
                <w:color w:val="000000"/>
                <w:lang w:val="en"/>
              </w:rPr>
              <w:t>④</w:t>
            </w:r>
          </w:p>
        </w:tc>
        <w:tc>
          <w:tcPr>
            <w:tcW w:w="1350" w:type="dxa"/>
            <w:vAlign w:val="center"/>
          </w:tcPr>
          <w:p w14:paraId="40449728" w14:textId="77777777" w:rsidR="00824725" w:rsidRPr="000D3C71" w:rsidRDefault="00953439">
            <w:pPr>
              <w:spacing w:line="360" w:lineRule="auto"/>
              <w:jc w:val="center"/>
              <w:rPr>
                <w:rFonts w:ascii="Arial" w:hAnsi="Arial" w:cs="Arial"/>
                <w:color w:val="000000"/>
              </w:rPr>
            </w:pPr>
            <w:r w:rsidRPr="000D3C71">
              <w:rPr>
                <w:rFonts w:ascii="Cambria Math" w:hAnsi="Cambria Math" w:cs="Cambria Math"/>
                <w:color w:val="000000"/>
                <w:lang w:val="en"/>
              </w:rPr>
              <w:t>①</w:t>
            </w:r>
            <w:r w:rsidRPr="000D3C71">
              <w:rPr>
                <w:rFonts w:ascii="Arial" w:hAnsi="Arial" w:cs="Arial"/>
                <w:color w:val="000000"/>
                <w:lang w:val="en"/>
              </w:rPr>
              <w:t>－</w:t>
            </w:r>
            <w:r w:rsidRPr="000D3C71">
              <w:rPr>
                <w:rFonts w:ascii="Cambria Math" w:hAnsi="Cambria Math" w:cs="Cambria Math"/>
                <w:color w:val="000000"/>
                <w:lang w:val="en"/>
              </w:rPr>
              <w:t>③</w:t>
            </w:r>
          </w:p>
        </w:tc>
        <w:tc>
          <w:tcPr>
            <w:tcW w:w="1350" w:type="dxa"/>
            <w:vAlign w:val="center"/>
          </w:tcPr>
          <w:p w14:paraId="2267B279" w14:textId="77777777" w:rsidR="00824725" w:rsidRPr="000D3C71" w:rsidRDefault="00953439">
            <w:pPr>
              <w:spacing w:line="360" w:lineRule="auto"/>
              <w:jc w:val="center"/>
              <w:rPr>
                <w:rFonts w:ascii="Arial" w:hAnsi="Arial" w:cs="Arial"/>
                <w:color w:val="000000"/>
              </w:rPr>
            </w:pPr>
            <w:r w:rsidRPr="000D3C71">
              <w:rPr>
                <w:rFonts w:ascii="Cambria Math" w:hAnsi="Cambria Math" w:cs="Cambria Math"/>
                <w:color w:val="000000"/>
                <w:lang w:val="en"/>
              </w:rPr>
              <w:t>②</w:t>
            </w:r>
            <w:r w:rsidRPr="000D3C71">
              <w:rPr>
                <w:rFonts w:ascii="Arial" w:hAnsi="Arial" w:cs="Arial"/>
                <w:color w:val="000000"/>
                <w:lang w:val="en"/>
              </w:rPr>
              <w:t>－</w:t>
            </w:r>
            <w:r w:rsidRPr="000D3C71">
              <w:rPr>
                <w:rFonts w:ascii="Cambria Math" w:hAnsi="Cambria Math" w:cs="Cambria Math"/>
                <w:color w:val="000000"/>
                <w:lang w:val="en"/>
              </w:rPr>
              <w:t>④</w:t>
            </w:r>
          </w:p>
        </w:tc>
      </w:tr>
      <w:tr w:rsidR="00824725" w:rsidRPr="000D3C71" w14:paraId="740A294E" w14:textId="77777777">
        <w:tc>
          <w:tcPr>
            <w:tcW w:w="1620" w:type="dxa"/>
            <w:vAlign w:val="center"/>
          </w:tcPr>
          <w:p w14:paraId="6C418EC6"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December 25, 2012 – December 31, 2012</w:t>
            </w:r>
          </w:p>
        </w:tc>
        <w:tc>
          <w:tcPr>
            <w:tcW w:w="1350" w:type="dxa"/>
            <w:vAlign w:val="center"/>
          </w:tcPr>
          <w:p w14:paraId="2A0F3219"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3.27%</w:t>
            </w:r>
          </w:p>
        </w:tc>
        <w:tc>
          <w:tcPr>
            <w:tcW w:w="1350" w:type="dxa"/>
            <w:vAlign w:val="center"/>
          </w:tcPr>
          <w:p w14:paraId="2401BFC7"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0.92%</w:t>
            </w:r>
          </w:p>
        </w:tc>
        <w:tc>
          <w:tcPr>
            <w:tcW w:w="1350" w:type="dxa"/>
            <w:vAlign w:val="center"/>
          </w:tcPr>
          <w:p w14:paraId="7226EED6"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5.95%</w:t>
            </w:r>
          </w:p>
        </w:tc>
        <w:tc>
          <w:tcPr>
            <w:tcW w:w="1350" w:type="dxa"/>
            <w:vAlign w:val="center"/>
          </w:tcPr>
          <w:p w14:paraId="5AA574C3"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1.29%</w:t>
            </w:r>
          </w:p>
        </w:tc>
        <w:tc>
          <w:tcPr>
            <w:tcW w:w="1350" w:type="dxa"/>
            <w:vAlign w:val="center"/>
          </w:tcPr>
          <w:p w14:paraId="187D41C5"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-2.68%</w:t>
            </w:r>
          </w:p>
        </w:tc>
        <w:tc>
          <w:tcPr>
            <w:tcW w:w="1350" w:type="dxa"/>
            <w:vAlign w:val="center"/>
          </w:tcPr>
          <w:p w14:paraId="1850EFBF"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-0.37%</w:t>
            </w:r>
          </w:p>
        </w:tc>
      </w:tr>
      <w:tr w:rsidR="00824725" w:rsidRPr="000D3C71" w14:paraId="45E5571D" w14:textId="77777777">
        <w:tc>
          <w:tcPr>
            <w:tcW w:w="1620" w:type="dxa"/>
            <w:vAlign w:val="center"/>
          </w:tcPr>
          <w:p w14:paraId="44DF9B02"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January 1, 2013 – December 31, 2013</w:t>
            </w:r>
          </w:p>
        </w:tc>
        <w:tc>
          <w:tcPr>
            <w:tcW w:w="1350" w:type="dxa"/>
            <w:vAlign w:val="center"/>
          </w:tcPr>
          <w:p w14:paraId="514A775D"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-5.43%</w:t>
            </w:r>
          </w:p>
        </w:tc>
        <w:tc>
          <w:tcPr>
            <w:tcW w:w="1350" w:type="dxa"/>
            <w:vAlign w:val="center"/>
          </w:tcPr>
          <w:p w14:paraId="30D20A3F"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1.39%</w:t>
            </w:r>
          </w:p>
        </w:tc>
        <w:tc>
          <w:tcPr>
            <w:tcW w:w="1350" w:type="dxa"/>
            <w:vAlign w:val="center"/>
          </w:tcPr>
          <w:p w14:paraId="04DFD61A"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-7.65%</w:t>
            </w:r>
          </w:p>
        </w:tc>
        <w:tc>
          <w:tcPr>
            <w:tcW w:w="1350" w:type="dxa"/>
            <w:vAlign w:val="center"/>
          </w:tcPr>
          <w:p w14:paraId="1A25544D"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1.39%</w:t>
            </w:r>
          </w:p>
        </w:tc>
        <w:tc>
          <w:tcPr>
            <w:tcW w:w="1350" w:type="dxa"/>
            <w:vAlign w:val="center"/>
          </w:tcPr>
          <w:p w14:paraId="251FD1EF"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2.22%</w:t>
            </w:r>
          </w:p>
        </w:tc>
        <w:tc>
          <w:tcPr>
            <w:tcW w:w="1350" w:type="dxa"/>
            <w:vAlign w:val="center"/>
          </w:tcPr>
          <w:p w14:paraId="50C58DFF"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0.00%</w:t>
            </w:r>
          </w:p>
        </w:tc>
      </w:tr>
      <w:tr w:rsidR="00824725" w:rsidRPr="000D3C71" w14:paraId="7FFE998E" w14:textId="77777777">
        <w:tc>
          <w:tcPr>
            <w:tcW w:w="1620" w:type="dxa"/>
            <w:vAlign w:val="center"/>
          </w:tcPr>
          <w:p w14:paraId="0A4BC775"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January 1, 2014 – December 31, 2014</w:t>
            </w:r>
          </w:p>
        </w:tc>
        <w:tc>
          <w:tcPr>
            <w:tcW w:w="1350" w:type="dxa"/>
            <w:vAlign w:val="center"/>
          </w:tcPr>
          <w:p w14:paraId="182F97C4"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53.53%</w:t>
            </w:r>
          </w:p>
        </w:tc>
        <w:tc>
          <w:tcPr>
            <w:tcW w:w="1350" w:type="dxa"/>
            <w:vAlign w:val="center"/>
          </w:tcPr>
          <w:p w14:paraId="74DDFFE2"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1.19%</w:t>
            </w:r>
          </w:p>
        </w:tc>
        <w:tc>
          <w:tcPr>
            <w:tcW w:w="1350" w:type="dxa"/>
            <w:vAlign w:val="center"/>
          </w:tcPr>
          <w:p w14:paraId="03AE7E76"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51.66%</w:t>
            </w:r>
          </w:p>
        </w:tc>
        <w:tc>
          <w:tcPr>
            <w:tcW w:w="1350" w:type="dxa"/>
            <w:vAlign w:val="center"/>
          </w:tcPr>
          <w:p w14:paraId="583623FF"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1.21%</w:t>
            </w:r>
          </w:p>
        </w:tc>
        <w:tc>
          <w:tcPr>
            <w:tcW w:w="1350" w:type="dxa"/>
            <w:vAlign w:val="center"/>
          </w:tcPr>
          <w:p w14:paraId="300FD125"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1.87%</w:t>
            </w:r>
          </w:p>
        </w:tc>
        <w:tc>
          <w:tcPr>
            <w:tcW w:w="1350" w:type="dxa"/>
            <w:vAlign w:val="center"/>
          </w:tcPr>
          <w:p w14:paraId="69D7344F"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-0.02%</w:t>
            </w:r>
          </w:p>
        </w:tc>
      </w:tr>
      <w:tr w:rsidR="00824725" w:rsidRPr="000D3C71" w14:paraId="616C3DEA" w14:textId="77777777">
        <w:tc>
          <w:tcPr>
            <w:tcW w:w="1620" w:type="dxa"/>
            <w:vAlign w:val="center"/>
          </w:tcPr>
          <w:p w14:paraId="6555DB23"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January 1, 2015 – December 31, 2015</w:t>
            </w:r>
          </w:p>
        </w:tc>
        <w:tc>
          <w:tcPr>
            <w:tcW w:w="1350" w:type="dxa"/>
            <w:vAlign w:val="center"/>
          </w:tcPr>
          <w:p w14:paraId="29C4C5FA"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8.93%</w:t>
            </w:r>
          </w:p>
        </w:tc>
        <w:tc>
          <w:tcPr>
            <w:tcW w:w="1350" w:type="dxa"/>
            <w:vAlign w:val="center"/>
          </w:tcPr>
          <w:p w14:paraId="7CEBCFC0"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2.49%</w:t>
            </w:r>
          </w:p>
        </w:tc>
        <w:tc>
          <w:tcPr>
            <w:tcW w:w="1350" w:type="dxa"/>
            <w:vAlign w:val="center"/>
          </w:tcPr>
          <w:p w14:paraId="7D8DE0F9"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5.58%</w:t>
            </w:r>
          </w:p>
        </w:tc>
        <w:tc>
          <w:tcPr>
            <w:tcW w:w="1350" w:type="dxa"/>
            <w:vAlign w:val="center"/>
          </w:tcPr>
          <w:p w14:paraId="46FCA3C6"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2.48%</w:t>
            </w:r>
          </w:p>
        </w:tc>
        <w:tc>
          <w:tcPr>
            <w:tcW w:w="1350" w:type="dxa"/>
            <w:vAlign w:val="center"/>
          </w:tcPr>
          <w:p w14:paraId="6523AB62"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3.35%</w:t>
            </w:r>
          </w:p>
        </w:tc>
        <w:tc>
          <w:tcPr>
            <w:tcW w:w="1350" w:type="dxa"/>
            <w:vAlign w:val="center"/>
          </w:tcPr>
          <w:p w14:paraId="2472C13E"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0.01%</w:t>
            </w:r>
          </w:p>
        </w:tc>
      </w:tr>
      <w:tr w:rsidR="00824725" w:rsidRPr="000D3C71" w14:paraId="29365D6B" w14:textId="77777777">
        <w:tc>
          <w:tcPr>
            <w:tcW w:w="1620" w:type="dxa"/>
            <w:vAlign w:val="center"/>
          </w:tcPr>
          <w:p w14:paraId="10902469"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January 1, 2016 – December 31, 2016</w:t>
            </w:r>
          </w:p>
        </w:tc>
        <w:tc>
          <w:tcPr>
            <w:tcW w:w="1350" w:type="dxa"/>
            <w:vAlign w:val="center"/>
          </w:tcPr>
          <w:p w14:paraId="04D180ED"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-8.59%</w:t>
            </w:r>
          </w:p>
        </w:tc>
        <w:tc>
          <w:tcPr>
            <w:tcW w:w="1350" w:type="dxa"/>
            <w:vAlign w:val="center"/>
          </w:tcPr>
          <w:p w14:paraId="744BC116"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1.38%</w:t>
            </w:r>
          </w:p>
        </w:tc>
        <w:tc>
          <w:tcPr>
            <w:tcW w:w="1350" w:type="dxa"/>
            <w:vAlign w:val="center"/>
          </w:tcPr>
          <w:p w14:paraId="193B63A7"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-11.28%</w:t>
            </w:r>
          </w:p>
        </w:tc>
        <w:tc>
          <w:tcPr>
            <w:tcW w:w="1350" w:type="dxa"/>
            <w:vAlign w:val="center"/>
          </w:tcPr>
          <w:p w14:paraId="166ABE7C"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1.40%</w:t>
            </w:r>
          </w:p>
        </w:tc>
        <w:tc>
          <w:tcPr>
            <w:tcW w:w="1350" w:type="dxa"/>
            <w:vAlign w:val="center"/>
          </w:tcPr>
          <w:p w14:paraId="181A5319"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2.69%</w:t>
            </w:r>
          </w:p>
        </w:tc>
        <w:tc>
          <w:tcPr>
            <w:tcW w:w="1350" w:type="dxa"/>
            <w:vAlign w:val="center"/>
          </w:tcPr>
          <w:p w14:paraId="44F29476"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-0.02%</w:t>
            </w:r>
          </w:p>
        </w:tc>
      </w:tr>
      <w:tr w:rsidR="00824725" w:rsidRPr="000D3C71" w14:paraId="78C2E72B" w14:textId="77777777">
        <w:tc>
          <w:tcPr>
            <w:tcW w:w="1620" w:type="dxa"/>
            <w:vAlign w:val="center"/>
          </w:tcPr>
          <w:p w14:paraId="25AA9097"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January 1, 2017 – December 31, 2017</w:t>
            </w:r>
          </w:p>
        </w:tc>
        <w:tc>
          <w:tcPr>
            <w:tcW w:w="1350" w:type="dxa"/>
            <w:vAlign w:val="center"/>
          </w:tcPr>
          <w:p w14:paraId="1B79A59C"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23.69%</w:t>
            </w:r>
          </w:p>
        </w:tc>
        <w:tc>
          <w:tcPr>
            <w:tcW w:w="1350" w:type="dxa"/>
            <w:vAlign w:val="center"/>
          </w:tcPr>
          <w:p w14:paraId="24D3005B"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0.63%</w:t>
            </w:r>
          </w:p>
        </w:tc>
        <w:tc>
          <w:tcPr>
            <w:tcW w:w="1350" w:type="dxa"/>
            <w:vAlign w:val="center"/>
          </w:tcPr>
          <w:p w14:paraId="4DC15CC1"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21.78%</w:t>
            </w:r>
          </w:p>
        </w:tc>
        <w:tc>
          <w:tcPr>
            <w:tcW w:w="1350" w:type="dxa"/>
            <w:vAlign w:val="center"/>
          </w:tcPr>
          <w:p w14:paraId="0E102CB6"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0.64%</w:t>
            </w:r>
          </w:p>
        </w:tc>
        <w:tc>
          <w:tcPr>
            <w:tcW w:w="1350" w:type="dxa"/>
            <w:vAlign w:val="center"/>
          </w:tcPr>
          <w:p w14:paraId="1D8FF85E"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1.91%</w:t>
            </w:r>
          </w:p>
        </w:tc>
        <w:tc>
          <w:tcPr>
            <w:tcW w:w="1350" w:type="dxa"/>
            <w:vAlign w:val="center"/>
          </w:tcPr>
          <w:p w14:paraId="3737F51B"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-0.01%</w:t>
            </w:r>
          </w:p>
        </w:tc>
      </w:tr>
      <w:tr w:rsidR="00824725" w:rsidRPr="000D3C71" w14:paraId="3421A5A8" w14:textId="77777777">
        <w:tc>
          <w:tcPr>
            <w:tcW w:w="1620" w:type="dxa"/>
            <w:vAlign w:val="center"/>
          </w:tcPr>
          <w:p w14:paraId="682B5F12"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January 1, 2018 – December 31, 2018</w:t>
            </w:r>
          </w:p>
        </w:tc>
        <w:tc>
          <w:tcPr>
            <w:tcW w:w="1350" w:type="dxa"/>
            <w:vAlign w:val="center"/>
          </w:tcPr>
          <w:p w14:paraId="62EB1884"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-23.88%</w:t>
            </w:r>
          </w:p>
        </w:tc>
        <w:tc>
          <w:tcPr>
            <w:tcW w:w="1350" w:type="dxa"/>
            <w:vAlign w:val="center"/>
          </w:tcPr>
          <w:p w14:paraId="70187E21"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1.34%</w:t>
            </w:r>
          </w:p>
        </w:tc>
        <w:tc>
          <w:tcPr>
            <w:tcW w:w="1350" w:type="dxa"/>
            <w:vAlign w:val="center"/>
          </w:tcPr>
          <w:p w14:paraId="76ABB3B1"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-25.31%</w:t>
            </w:r>
          </w:p>
        </w:tc>
        <w:tc>
          <w:tcPr>
            <w:tcW w:w="1350" w:type="dxa"/>
            <w:vAlign w:val="center"/>
          </w:tcPr>
          <w:p w14:paraId="3419894F"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1.34%</w:t>
            </w:r>
          </w:p>
        </w:tc>
        <w:tc>
          <w:tcPr>
            <w:tcW w:w="1350" w:type="dxa"/>
            <w:vAlign w:val="center"/>
          </w:tcPr>
          <w:p w14:paraId="52B566DA"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1.43%</w:t>
            </w:r>
          </w:p>
        </w:tc>
        <w:tc>
          <w:tcPr>
            <w:tcW w:w="1350" w:type="dxa"/>
            <w:vAlign w:val="center"/>
          </w:tcPr>
          <w:p w14:paraId="14379A28"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0.00%</w:t>
            </w:r>
          </w:p>
        </w:tc>
      </w:tr>
      <w:tr w:rsidR="00824725" w:rsidRPr="000D3C71" w14:paraId="5E10DBC1" w14:textId="77777777">
        <w:tc>
          <w:tcPr>
            <w:tcW w:w="1620" w:type="dxa"/>
            <w:vAlign w:val="center"/>
          </w:tcPr>
          <w:p w14:paraId="09DCEF8F"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January 1, 2019 – December 31, 2019</w:t>
            </w:r>
          </w:p>
        </w:tc>
        <w:tc>
          <w:tcPr>
            <w:tcW w:w="1350" w:type="dxa"/>
            <w:vAlign w:val="center"/>
          </w:tcPr>
          <w:p w14:paraId="7BDEE609"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38.21%</w:t>
            </w:r>
          </w:p>
        </w:tc>
        <w:tc>
          <w:tcPr>
            <w:tcW w:w="1350" w:type="dxa"/>
            <w:vAlign w:val="center"/>
          </w:tcPr>
          <w:p w14:paraId="312BE41A"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1.24%</w:t>
            </w:r>
          </w:p>
        </w:tc>
        <w:tc>
          <w:tcPr>
            <w:tcW w:w="1350" w:type="dxa"/>
            <w:vAlign w:val="center"/>
          </w:tcPr>
          <w:p w14:paraId="7BDA8498"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36.07%</w:t>
            </w:r>
          </w:p>
        </w:tc>
        <w:tc>
          <w:tcPr>
            <w:tcW w:w="1350" w:type="dxa"/>
            <w:vAlign w:val="center"/>
          </w:tcPr>
          <w:p w14:paraId="091DC28B"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1.25%</w:t>
            </w:r>
          </w:p>
        </w:tc>
        <w:tc>
          <w:tcPr>
            <w:tcW w:w="1350" w:type="dxa"/>
            <w:vAlign w:val="center"/>
          </w:tcPr>
          <w:p w14:paraId="55BD03C5"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2.14%</w:t>
            </w:r>
          </w:p>
        </w:tc>
        <w:tc>
          <w:tcPr>
            <w:tcW w:w="1350" w:type="dxa"/>
            <w:vAlign w:val="center"/>
          </w:tcPr>
          <w:p w14:paraId="4F467C06"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-0.01%</w:t>
            </w:r>
          </w:p>
        </w:tc>
      </w:tr>
      <w:tr w:rsidR="00824725" w:rsidRPr="000D3C71" w14:paraId="47B0CD43" w14:textId="77777777">
        <w:tc>
          <w:tcPr>
            <w:tcW w:w="1620" w:type="dxa"/>
            <w:vAlign w:val="center"/>
          </w:tcPr>
          <w:p w14:paraId="47CB5254"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January 1, 2020 – December 31, 2020</w:t>
            </w:r>
          </w:p>
        </w:tc>
        <w:tc>
          <w:tcPr>
            <w:tcW w:w="1350" w:type="dxa"/>
            <w:vAlign w:val="center"/>
          </w:tcPr>
          <w:p w14:paraId="5E224AD6"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29.45%</w:t>
            </w:r>
          </w:p>
        </w:tc>
        <w:tc>
          <w:tcPr>
            <w:tcW w:w="1350" w:type="dxa"/>
            <w:vAlign w:val="center"/>
          </w:tcPr>
          <w:p w14:paraId="649DEA47"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1.43%</w:t>
            </w:r>
          </w:p>
        </w:tc>
        <w:tc>
          <w:tcPr>
            <w:tcW w:w="1350" w:type="dxa"/>
            <w:vAlign w:val="center"/>
          </w:tcPr>
          <w:p w14:paraId="19318D46"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27.21%</w:t>
            </w:r>
          </w:p>
        </w:tc>
        <w:tc>
          <w:tcPr>
            <w:tcW w:w="1350" w:type="dxa"/>
            <w:vAlign w:val="center"/>
          </w:tcPr>
          <w:p w14:paraId="1D0563FD"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1.43%</w:t>
            </w:r>
          </w:p>
        </w:tc>
        <w:tc>
          <w:tcPr>
            <w:tcW w:w="1350" w:type="dxa"/>
            <w:vAlign w:val="center"/>
          </w:tcPr>
          <w:p w14:paraId="72D9A52B"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2.24%</w:t>
            </w:r>
          </w:p>
        </w:tc>
        <w:tc>
          <w:tcPr>
            <w:tcW w:w="1350" w:type="dxa"/>
            <w:vAlign w:val="center"/>
          </w:tcPr>
          <w:p w14:paraId="22A24EAB"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0.00%</w:t>
            </w:r>
          </w:p>
        </w:tc>
      </w:tr>
      <w:tr w:rsidR="00824725" w:rsidRPr="000D3C71" w14:paraId="5D2ACD69" w14:textId="77777777">
        <w:tc>
          <w:tcPr>
            <w:tcW w:w="1620" w:type="dxa"/>
            <w:vAlign w:val="center"/>
          </w:tcPr>
          <w:p w14:paraId="64BF66B1"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January 1, 2021 – December 31, 2021</w:t>
            </w:r>
          </w:p>
        </w:tc>
        <w:tc>
          <w:tcPr>
            <w:tcW w:w="1350" w:type="dxa"/>
            <w:vAlign w:val="center"/>
          </w:tcPr>
          <w:p w14:paraId="1DD38EF6"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-3.77%</w:t>
            </w:r>
          </w:p>
        </w:tc>
        <w:tc>
          <w:tcPr>
            <w:tcW w:w="1350" w:type="dxa"/>
            <w:vAlign w:val="center"/>
          </w:tcPr>
          <w:p w14:paraId="5820341B"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1.17%</w:t>
            </w:r>
          </w:p>
        </w:tc>
        <w:tc>
          <w:tcPr>
            <w:tcW w:w="1350" w:type="dxa"/>
            <w:vAlign w:val="center"/>
          </w:tcPr>
          <w:p w14:paraId="667BC73F"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-5.20%</w:t>
            </w:r>
          </w:p>
        </w:tc>
        <w:tc>
          <w:tcPr>
            <w:tcW w:w="1350" w:type="dxa"/>
            <w:vAlign w:val="center"/>
          </w:tcPr>
          <w:p w14:paraId="3597BB1E"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1.17%</w:t>
            </w:r>
          </w:p>
        </w:tc>
        <w:tc>
          <w:tcPr>
            <w:tcW w:w="1350" w:type="dxa"/>
            <w:vAlign w:val="center"/>
          </w:tcPr>
          <w:p w14:paraId="18F231B6"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1.43%</w:t>
            </w:r>
          </w:p>
        </w:tc>
        <w:tc>
          <w:tcPr>
            <w:tcW w:w="1350" w:type="dxa"/>
            <w:vAlign w:val="center"/>
          </w:tcPr>
          <w:p w14:paraId="1E69D55B"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0.00%</w:t>
            </w:r>
          </w:p>
        </w:tc>
      </w:tr>
      <w:tr w:rsidR="00824725" w:rsidRPr="000D3C71" w14:paraId="31EDA0A5" w14:textId="77777777">
        <w:tc>
          <w:tcPr>
            <w:tcW w:w="1620" w:type="dxa"/>
            <w:vAlign w:val="center"/>
          </w:tcPr>
          <w:p w14:paraId="4E172EAD"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January 1, 2022 – December 31, 2022</w:t>
            </w:r>
          </w:p>
        </w:tc>
        <w:tc>
          <w:tcPr>
            <w:tcW w:w="1350" w:type="dxa"/>
            <w:vAlign w:val="center"/>
          </w:tcPr>
          <w:p w14:paraId="6A669483"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-20.26%</w:t>
            </w:r>
          </w:p>
        </w:tc>
        <w:tc>
          <w:tcPr>
            <w:tcW w:w="1350" w:type="dxa"/>
            <w:vAlign w:val="center"/>
          </w:tcPr>
          <w:p w14:paraId="7C5C547B"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1.28%</w:t>
            </w:r>
          </w:p>
        </w:tc>
        <w:tc>
          <w:tcPr>
            <w:tcW w:w="1350" w:type="dxa"/>
            <w:vAlign w:val="center"/>
          </w:tcPr>
          <w:p w14:paraId="7D21EC4A"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-21.63%</w:t>
            </w:r>
          </w:p>
        </w:tc>
        <w:tc>
          <w:tcPr>
            <w:tcW w:w="1350" w:type="dxa"/>
            <w:vAlign w:val="center"/>
          </w:tcPr>
          <w:p w14:paraId="1972CB98"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1.28%</w:t>
            </w:r>
          </w:p>
        </w:tc>
        <w:tc>
          <w:tcPr>
            <w:tcW w:w="1350" w:type="dxa"/>
            <w:vAlign w:val="center"/>
          </w:tcPr>
          <w:p w14:paraId="63F951AB"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1.37%</w:t>
            </w:r>
          </w:p>
        </w:tc>
        <w:tc>
          <w:tcPr>
            <w:tcW w:w="1350" w:type="dxa"/>
            <w:vAlign w:val="center"/>
          </w:tcPr>
          <w:p w14:paraId="6EBF09F3"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0.00%</w:t>
            </w:r>
          </w:p>
        </w:tc>
      </w:tr>
      <w:tr w:rsidR="00824725" w:rsidRPr="000D3C71" w14:paraId="3A8ED9CF" w14:textId="77777777">
        <w:tc>
          <w:tcPr>
            <w:tcW w:w="1620" w:type="dxa"/>
            <w:vAlign w:val="center"/>
          </w:tcPr>
          <w:p w14:paraId="0438AD0A"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January 1, 2023 – December 31, 2023</w:t>
            </w:r>
          </w:p>
        </w:tc>
        <w:tc>
          <w:tcPr>
            <w:tcW w:w="1350" w:type="dxa"/>
            <w:vAlign w:val="center"/>
          </w:tcPr>
          <w:p w14:paraId="0D531CF9"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-9.48%</w:t>
            </w:r>
          </w:p>
        </w:tc>
        <w:tc>
          <w:tcPr>
            <w:tcW w:w="1350" w:type="dxa"/>
            <w:vAlign w:val="center"/>
          </w:tcPr>
          <w:p w14:paraId="488B22BF"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0.85%</w:t>
            </w:r>
          </w:p>
        </w:tc>
        <w:tc>
          <w:tcPr>
            <w:tcW w:w="1350" w:type="dxa"/>
            <w:vAlign w:val="center"/>
          </w:tcPr>
          <w:p w14:paraId="1CC0CC43"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-11.38%</w:t>
            </w:r>
          </w:p>
        </w:tc>
        <w:tc>
          <w:tcPr>
            <w:tcW w:w="1350" w:type="dxa"/>
            <w:vAlign w:val="center"/>
          </w:tcPr>
          <w:p w14:paraId="2B68D5C5"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0.85%</w:t>
            </w:r>
          </w:p>
        </w:tc>
        <w:tc>
          <w:tcPr>
            <w:tcW w:w="1350" w:type="dxa"/>
            <w:vAlign w:val="center"/>
          </w:tcPr>
          <w:p w14:paraId="6FDDBF94"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1.90%</w:t>
            </w:r>
          </w:p>
        </w:tc>
        <w:tc>
          <w:tcPr>
            <w:tcW w:w="1350" w:type="dxa"/>
            <w:vAlign w:val="center"/>
          </w:tcPr>
          <w:p w14:paraId="290B88E1"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0.00%</w:t>
            </w:r>
          </w:p>
        </w:tc>
      </w:tr>
      <w:tr w:rsidR="00824725" w:rsidRPr="000D3C71" w14:paraId="3B220039" w14:textId="77777777">
        <w:tc>
          <w:tcPr>
            <w:tcW w:w="1620" w:type="dxa"/>
            <w:vAlign w:val="center"/>
          </w:tcPr>
          <w:p w14:paraId="1546AB46"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January 1, 2024 – December 31, 2024</w:t>
            </w:r>
          </w:p>
        </w:tc>
        <w:tc>
          <w:tcPr>
            <w:tcW w:w="1350" w:type="dxa"/>
            <w:vAlign w:val="center"/>
          </w:tcPr>
          <w:p w14:paraId="5325646F"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17.40%</w:t>
            </w:r>
          </w:p>
        </w:tc>
        <w:tc>
          <w:tcPr>
            <w:tcW w:w="1350" w:type="dxa"/>
            <w:vAlign w:val="center"/>
          </w:tcPr>
          <w:p w14:paraId="5C8AE584"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1.34%</w:t>
            </w:r>
          </w:p>
        </w:tc>
        <w:tc>
          <w:tcPr>
            <w:tcW w:w="1350" w:type="dxa"/>
            <w:vAlign w:val="center"/>
          </w:tcPr>
          <w:p w14:paraId="5793E812"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14.68%</w:t>
            </w:r>
          </w:p>
        </w:tc>
        <w:tc>
          <w:tcPr>
            <w:tcW w:w="1350" w:type="dxa"/>
            <w:vAlign w:val="center"/>
          </w:tcPr>
          <w:p w14:paraId="603AE2B0"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1.34%</w:t>
            </w:r>
          </w:p>
        </w:tc>
        <w:tc>
          <w:tcPr>
            <w:tcW w:w="1350" w:type="dxa"/>
            <w:vAlign w:val="center"/>
          </w:tcPr>
          <w:p w14:paraId="4E176635"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2.72%</w:t>
            </w:r>
          </w:p>
        </w:tc>
        <w:tc>
          <w:tcPr>
            <w:tcW w:w="1350" w:type="dxa"/>
            <w:vAlign w:val="center"/>
          </w:tcPr>
          <w:p w14:paraId="72B8EB26"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0.00%</w:t>
            </w:r>
          </w:p>
        </w:tc>
      </w:tr>
      <w:tr w:rsidR="00824725" w:rsidRPr="000D3C71" w14:paraId="7E49C0E3" w14:textId="77777777">
        <w:tc>
          <w:tcPr>
            <w:tcW w:w="1620" w:type="dxa"/>
            <w:vAlign w:val="center"/>
          </w:tcPr>
          <w:p w14:paraId="226F6872"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January 1, 2025 – March 31, 2025</w:t>
            </w:r>
          </w:p>
        </w:tc>
        <w:tc>
          <w:tcPr>
            <w:tcW w:w="1350" w:type="dxa"/>
            <w:vAlign w:val="center"/>
          </w:tcPr>
          <w:p w14:paraId="270699CF"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-1.01%</w:t>
            </w:r>
          </w:p>
        </w:tc>
        <w:tc>
          <w:tcPr>
            <w:tcW w:w="1350" w:type="dxa"/>
            <w:vAlign w:val="center"/>
          </w:tcPr>
          <w:p w14:paraId="43475D1C"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0.94%</w:t>
            </w:r>
          </w:p>
        </w:tc>
        <w:tc>
          <w:tcPr>
            <w:tcW w:w="1350" w:type="dxa"/>
            <w:vAlign w:val="center"/>
          </w:tcPr>
          <w:p w14:paraId="23CBDCE1"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-1.21%</w:t>
            </w:r>
          </w:p>
        </w:tc>
        <w:tc>
          <w:tcPr>
            <w:tcW w:w="1350" w:type="dxa"/>
            <w:vAlign w:val="center"/>
          </w:tcPr>
          <w:p w14:paraId="5EE5782E"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0.94%</w:t>
            </w:r>
          </w:p>
        </w:tc>
        <w:tc>
          <w:tcPr>
            <w:tcW w:w="1350" w:type="dxa"/>
            <w:vAlign w:val="center"/>
          </w:tcPr>
          <w:p w14:paraId="244071C0"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0.20%</w:t>
            </w:r>
          </w:p>
        </w:tc>
        <w:tc>
          <w:tcPr>
            <w:tcW w:w="1350" w:type="dxa"/>
            <w:vAlign w:val="center"/>
          </w:tcPr>
          <w:p w14:paraId="5758A1F3"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0.00%</w:t>
            </w:r>
          </w:p>
        </w:tc>
      </w:tr>
      <w:tr w:rsidR="00824725" w:rsidRPr="000D3C71" w14:paraId="5BC97A5D" w14:textId="77777777">
        <w:tc>
          <w:tcPr>
            <w:tcW w:w="1620" w:type="dxa"/>
            <w:vAlign w:val="center"/>
          </w:tcPr>
          <w:p w14:paraId="6E79CDF5"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Since Inception to Date (March 31, 2025)</w:t>
            </w:r>
          </w:p>
        </w:tc>
        <w:tc>
          <w:tcPr>
            <w:tcW w:w="1350" w:type="dxa"/>
            <w:vAlign w:val="center"/>
          </w:tcPr>
          <w:p w14:paraId="51DF15D5"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103.02%</w:t>
            </w:r>
          </w:p>
        </w:tc>
        <w:tc>
          <w:tcPr>
            <w:tcW w:w="1350" w:type="dxa"/>
            <w:vAlign w:val="center"/>
          </w:tcPr>
          <w:p w14:paraId="76556085"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1.37%</w:t>
            </w:r>
          </w:p>
        </w:tc>
        <w:tc>
          <w:tcPr>
            <w:tcW w:w="1350" w:type="dxa"/>
            <w:vAlign w:val="center"/>
          </w:tcPr>
          <w:p w14:paraId="4464CDD8"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63.25%</w:t>
            </w:r>
          </w:p>
        </w:tc>
        <w:tc>
          <w:tcPr>
            <w:tcW w:w="1350" w:type="dxa"/>
            <w:vAlign w:val="center"/>
          </w:tcPr>
          <w:p w14:paraId="6A39B74D"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1.37%</w:t>
            </w:r>
          </w:p>
        </w:tc>
        <w:tc>
          <w:tcPr>
            <w:tcW w:w="1350" w:type="dxa"/>
            <w:vAlign w:val="center"/>
          </w:tcPr>
          <w:p w14:paraId="4339EB06"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39.77%</w:t>
            </w:r>
          </w:p>
        </w:tc>
        <w:tc>
          <w:tcPr>
            <w:tcW w:w="1350" w:type="dxa"/>
            <w:vAlign w:val="center"/>
          </w:tcPr>
          <w:p w14:paraId="1FFA2E28" w14:textId="77777777" w:rsidR="00824725" w:rsidRPr="000D3C71" w:rsidRDefault="00953439">
            <w:pPr>
              <w:spacing w:line="360" w:lineRule="auto"/>
              <w:jc w:val="center"/>
              <w:rPr>
                <w:rFonts w:ascii="Arial" w:hAnsi="Arial" w:cs="Arial"/>
                <w:color w:val="000000"/>
              </w:rPr>
            </w:pPr>
            <w:r w:rsidRPr="000D3C71">
              <w:rPr>
                <w:rFonts w:ascii="Arial" w:hAnsi="Arial" w:cs="Arial"/>
                <w:color w:val="000000"/>
                <w:lang w:val="en"/>
              </w:rPr>
              <w:t>0.00%</w:t>
            </w:r>
          </w:p>
        </w:tc>
      </w:tr>
    </w:tbl>
    <w:p w14:paraId="5B6826B6" w14:textId="13EEB728" w:rsidR="0081561B" w:rsidRPr="000D3C71" w:rsidRDefault="00953439" w:rsidP="002C372A">
      <w:pPr>
        <w:pStyle w:val="Heading3"/>
        <w:rPr>
          <w:rFonts w:ascii="Arial" w:hAnsi="Arial" w:cs="Arial"/>
        </w:rPr>
      </w:pPr>
      <w:bookmarkStart w:id="105" w:name="_Toc211640951"/>
      <w:r w:rsidRPr="000D3C71">
        <w:rPr>
          <w:rFonts w:ascii="Arial" w:hAnsi="Arial" w:cs="Arial"/>
          <w:bCs/>
          <w:lang w:val="en"/>
        </w:rPr>
        <w:t xml:space="preserve">XII. </w:t>
      </w:r>
      <w:r w:rsidR="006F4C18" w:rsidRPr="000D3C71">
        <w:rPr>
          <w:rFonts w:ascii="Arial" w:hAnsi="Arial" w:cs="Arial"/>
          <w:bCs/>
          <w:lang w:val="en"/>
        </w:rPr>
        <w:t>Fund Property</w:t>
      </w:r>
      <w:bookmarkEnd w:id="100"/>
      <w:bookmarkEnd w:id="101"/>
      <w:bookmarkEnd w:id="102"/>
      <w:bookmarkEnd w:id="103"/>
      <w:bookmarkEnd w:id="105"/>
    </w:p>
    <w:p w14:paraId="45A207A8"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(I) Total Asset Value of the Fund</w:t>
      </w:r>
    </w:p>
    <w:p w14:paraId="740C9550"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The Total Asset Value of the Fund refers to the aggregate value of all securities and notes purchased, together with the principal and interest of bank deposits, creation proceeds receivable, and the value of other investments.</w:t>
      </w:r>
    </w:p>
    <w:p w14:paraId="21C923BD" w14:textId="77777777" w:rsidR="0081561B" w:rsidRPr="000D3C71" w:rsidRDefault="00953439" w:rsidP="00DF628C">
      <w:pPr>
        <w:pStyle w:val="affd"/>
        <w:spacing w:line="360" w:lineRule="auto"/>
        <w:ind w:firstLineChars="200" w:firstLine="420"/>
        <w:rPr>
          <w:rFonts w:ascii="Arial" w:hAnsi="Arial" w:cs="Arial"/>
          <w:bCs/>
          <w:szCs w:val="21"/>
        </w:rPr>
      </w:pPr>
      <w:r w:rsidRPr="000D3C71">
        <w:rPr>
          <w:rFonts w:ascii="Arial" w:hAnsi="Arial" w:cs="Arial"/>
          <w:szCs w:val="21"/>
          <w:lang w:val="en"/>
        </w:rPr>
        <w:t>(II) NAV of the Fund</w:t>
      </w:r>
    </w:p>
    <w:p w14:paraId="3C6CBEEF"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NAV of the Fund is the value obtained by subtracting the Fund’s liabilities from its Total Asset Value.</w:t>
      </w:r>
    </w:p>
    <w:p w14:paraId="32E5B649"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(III) Accounts for Fund Property</w:t>
      </w:r>
    </w:p>
    <w:p w14:paraId="318ED1BB" w14:textId="77777777" w:rsidR="0081561B"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 Fund Custodian shall open cash accounts, securities accounts, and other dedicated accounts required for investment for the Fund in accordance with applicable laws, regulations, and regulatory guidelines. These dedicated Fund accounts shall be independent of the proprietary property accounts of the Fund Manager, Fund Custodian, distributors, and the Registration and Clearing Agency, as well as the property accounts of other funds.</w:t>
      </w:r>
      <w:bookmarkStart w:id="106" w:name="_Hlt88841837"/>
      <w:bookmarkEnd w:id="106"/>
    </w:p>
    <w:p w14:paraId="4F10CA26"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(IV) Custody and Disposal of Fund Property</w:t>
      </w:r>
      <w:bookmarkStart w:id="107" w:name="_Hlt88900062"/>
      <w:bookmarkEnd w:id="107"/>
    </w:p>
    <w:p w14:paraId="5227FE21"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Property is independent of the property of the Fund Manager, Fund Custodian, and distributors, and shall be held in custody by the Fund Custodian. The Fund Manager, Fund Custodian, Registration and Clearing Agency, and distributors shall each bear their own legal liabilities with their respective proprietary property. Their creditors may not request to freeze, seize, or otherwise claim against the Fund Property. The Fund Property may be disposed of only in accordance with applicable laws, regulations, and the Fund Contract.</w:t>
      </w:r>
    </w:p>
    <w:p w14:paraId="634D0829" w14:textId="77777777" w:rsidR="005F51AE"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If the Fund Manager or Fund Custodian is liquidated due to lawful dissolution, revocation, or bankruptcy, the Fund Property shall not form part of its liquidation estate. Claims arising from the Fund Manager’s management and operation of Fund Property may not be offset against debts arising from its proprietary assets; likewise, claims and debts arising from its management of different funds’ property shall not be offset against one another.</w:t>
      </w:r>
    </w:p>
    <w:p w14:paraId="1D3EF45F" w14:textId="08FDA1AE" w:rsidR="0081561B" w:rsidRPr="000D3C71" w:rsidRDefault="00953439" w:rsidP="002C372A">
      <w:pPr>
        <w:pStyle w:val="Heading3"/>
        <w:rPr>
          <w:rFonts w:ascii="Arial" w:hAnsi="Arial" w:cs="Arial"/>
        </w:rPr>
      </w:pPr>
      <w:bookmarkStart w:id="108" w:name="_Toc340435596"/>
      <w:bookmarkStart w:id="109" w:name="_Toc340435526"/>
      <w:bookmarkStart w:id="110" w:name="_Toc329633097"/>
      <w:bookmarkStart w:id="111" w:name="_Toc127083927"/>
      <w:bookmarkStart w:id="112" w:name="_Toc211640952"/>
      <w:r w:rsidRPr="000D3C71">
        <w:rPr>
          <w:rFonts w:ascii="Arial" w:hAnsi="Arial" w:cs="Arial"/>
          <w:bCs/>
          <w:lang w:val="en"/>
        </w:rPr>
        <w:t xml:space="preserve">XIII. </w:t>
      </w:r>
      <w:r w:rsidR="006F4C18" w:rsidRPr="000D3C71">
        <w:rPr>
          <w:rFonts w:ascii="Arial" w:hAnsi="Arial" w:cs="Arial"/>
          <w:bCs/>
          <w:lang w:val="en"/>
        </w:rPr>
        <w:t xml:space="preserve">Valuation </w:t>
      </w:r>
      <w:r w:rsidR="006F4C18">
        <w:rPr>
          <w:rFonts w:ascii="Arial" w:hAnsi="Arial" w:cs="Arial" w:hint="eastAsia"/>
          <w:bCs/>
          <w:lang w:val="en"/>
        </w:rPr>
        <w:t>o</w:t>
      </w:r>
      <w:r w:rsidR="006F4C18" w:rsidRPr="000D3C71">
        <w:rPr>
          <w:rFonts w:ascii="Arial" w:hAnsi="Arial" w:cs="Arial"/>
          <w:bCs/>
          <w:lang w:val="en"/>
        </w:rPr>
        <w:t>f Fund Assets</w:t>
      </w:r>
      <w:bookmarkEnd w:id="108"/>
      <w:bookmarkEnd w:id="109"/>
      <w:bookmarkEnd w:id="110"/>
      <w:bookmarkEnd w:id="111"/>
      <w:bookmarkEnd w:id="112"/>
    </w:p>
    <w:p w14:paraId="1331B46F"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(I) Valuation Date</w:t>
      </w:r>
    </w:p>
    <w:p w14:paraId="74E3CA95" w14:textId="77777777" w:rsidR="0081561B"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The Fund’s valuation date shall be each trading day of the securities exchanges relevant to the Fund, as well as any non-trading day on which disclosure of the Fund’s NAV is required by national laws or regulations.</w:t>
      </w:r>
    </w:p>
    <w:p w14:paraId="61DFA22C" w14:textId="77777777" w:rsidR="0081561B" w:rsidRPr="000D3C71" w:rsidRDefault="00953439" w:rsidP="00DF628C">
      <w:pPr>
        <w:pStyle w:val="affd"/>
        <w:spacing w:line="360" w:lineRule="auto"/>
        <w:ind w:firstLineChars="200" w:firstLine="420"/>
        <w:rPr>
          <w:rFonts w:ascii="Arial" w:hAnsi="Arial" w:cs="Arial"/>
          <w:bCs/>
          <w:szCs w:val="21"/>
        </w:rPr>
      </w:pPr>
      <w:r w:rsidRPr="000D3C71">
        <w:rPr>
          <w:rFonts w:ascii="Arial" w:hAnsi="Arial" w:cs="Arial"/>
          <w:szCs w:val="21"/>
          <w:lang w:val="en"/>
        </w:rPr>
        <w:t>(II) Valuation Subjects</w:t>
      </w:r>
    </w:p>
    <w:p w14:paraId="5B5D6F7D"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Valuation subjects refer to the Fund’s assets and liabilities, including stocks, warrants, bonds, bank deposits and accrued interest, receivables, and other investments it holds.</w:t>
      </w:r>
    </w:p>
    <w:p w14:paraId="2A8AF1C4"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(III) Valuation Methods</w:t>
      </w:r>
    </w:p>
    <w:p w14:paraId="2F69C080"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Valuation of Marketable Securities Listed on a Securities Exchange</w:t>
      </w:r>
    </w:p>
    <w:p w14:paraId="070AAF3E"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For exchange-listed securities (including stocks and warrants), valuation shall be based on the market price (closing price) posted on the valuation date. Where no trading occurs on that date but the economic environment remains substantially unchanged since the last trading day, the market price (closing price) of the last trading day shall be used. If the economic environment has changed significantly since the last trading day, fair value shall be determined with reference to the current market prices of comparable investment products and by adjusting the last trading price for the significant change factors.</w:t>
      </w:r>
    </w:p>
    <w:p w14:paraId="3FF18E9A"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For exchange-listed bonds traded on a clean-price basis, valuation shall be based on the closing price on the valuation date. If no trading occurs on that date and the economic environment remains substantially unchanged since the last trading day, the closing price of the last trading day shall be used. Where the economic environment has changed significantly since the last trading day, fair value shall be determined with reference to the current market prices of comparable investment products and by adjusting the last trading price for the significant change factors.</w:t>
      </w:r>
    </w:p>
    <w:p w14:paraId="30F882D0"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For exchange-listed bonds not traded on a clean-price basis, valuation shall be based on the clean price obtained by deducting the accrued interest included in the bond’s closing price on the valuation date. If no trading occurs on that date and the economic environment remains substantially unchanged since the last trading day, valuation shall be based on the clean price obtained by deducting the accrued interest included in the bond’s closing price on the last trading day. If the economic environment has changed significantly since the last trading day, fair value shall be determined with reference to the current market prices of comparable investment products and by adjusting the last trading price for the significant change factors.</w:t>
      </w:r>
    </w:p>
    <w:p w14:paraId="48BF295F"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For exchange-listed securities without an active market, fair value shall be determined using valuation techniques. For exchange-listed asset-backed securities, valuation techniques shall be applied; where fair value cannot be reliably measured using such techniques, they shall be valued at cost.</w:t>
      </w:r>
    </w:p>
    <w:p w14:paraId="68A30A1C"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Valuation of Marketable Securities during an Unlisted Period</w:t>
      </w:r>
    </w:p>
    <w:p w14:paraId="51C7C3E4"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Bonus shares, shares from capitalization of capital reserves, rights issues, and new shares from public additional offerings shall be valued according to the same method as identical stocks listed on the exchange on the valuation date. If no trading occurs on that date, the market price (closing price) of the last trading day shall be used.</w:t>
      </w:r>
    </w:p>
    <w:p w14:paraId="77B2D4FF"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For initial public offerings of stocks, bonds, or warrants that are not yet listed, fair value shall be determined using valuation techniques. Where such fair value cannot be reliably measured using such techniques, the investment shall be valued at cost.</w:t>
      </w:r>
    </w:p>
    <w:p w14:paraId="22A22C4E"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For IPO shares subject to a defined lock-up period, valuation shall be carried out using the same method as for the identical stock listed and traded on the exchange. For privately placed shares subject to a defined lock-up period, fair value shall be determined in accordance with the relevant rules issued by the regulatory authorities or industry associations.</w:t>
      </w:r>
    </w:p>
    <w:p w14:paraId="428A74F1"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For bonds, asset-backed securities, and other fixed-income instruments traded in the national interbank bond market, fair value shall be determined using valuation techniques.</w:t>
      </w:r>
    </w:p>
    <w:p w14:paraId="54B51BC3" w14:textId="77777777" w:rsidR="0081561B" w:rsidRPr="000D3C71" w:rsidRDefault="00953439">
      <w:pPr>
        <w:pStyle w:val="affd"/>
        <w:spacing w:line="360" w:lineRule="auto"/>
        <w:ind w:firstLineChars="200" w:firstLine="420"/>
        <w:rPr>
          <w:rFonts w:ascii="Arial" w:hAnsi="Arial" w:cs="Arial"/>
          <w:szCs w:val="21"/>
        </w:rPr>
      </w:pPr>
      <w:r w:rsidRPr="000D3C71">
        <w:rPr>
          <w:rFonts w:ascii="Arial" w:hAnsi="Arial" w:cs="Arial"/>
          <w:lang w:val="en"/>
        </w:rPr>
        <w:t>4. Rights arising from stock holdings shall be valued at fair value using valuation techniques, or at cost where fair value cannot be reliably measured using such techniques.</w:t>
      </w:r>
    </w:p>
    <w:p w14:paraId="42F6FC5A"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5. If the same bond is traded on two or more markets, valuation shall be carried out separately according to each market on which it trades.</w:t>
      </w:r>
    </w:p>
    <w:p w14:paraId="183BF3D8" w14:textId="77777777" w:rsidR="0081561B"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6. Investments in stock index futures shall generally be valued at the settlement price on the valuation date; if no settlement price is available on that date and the economic environment remains substantially unchanged since the last trading day, the last trading day’s settlement price shall apply.</w:t>
      </w:r>
    </w:p>
    <w:p w14:paraId="4F067591" w14:textId="77777777" w:rsidR="00A85B1E"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7. The valuation and accounting of the Fund’s investments in depositary receipts shall follow the procedures applicable to domestically listed stocks.</w:t>
      </w:r>
    </w:p>
    <w:p w14:paraId="45D91C2F"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8. Where conclusive evidence shows that the foregoing methods fail to reflect fair value objectively, the Fund Manager may, upon consultation with the Fund Custodian, value the assets at a price that most accurately reflects fair value.</w:t>
      </w:r>
    </w:p>
    <w:p w14:paraId="351B0F1E"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9. Where mandatory provisions of laws, regulations, or regulators apply, such provisions shall prevail. Any new items shall be valued in accordance with the latest national regulations.</w:t>
      </w:r>
    </w:p>
    <w:p w14:paraId="6A1FB5C8" w14:textId="77777777" w:rsidR="0081561B" w:rsidRPr="000D3C71" w:rsidRDefault="00953439">
      <w:pPr>
        <w:pStyle w:val="affd"/>
        <w:spacing w:line="360" w:lineRule="auto"/>
        <w:ind w:firstLineChars="200" w:firstLine="420"/>
        <w:rPr>
          <w:rStyle w:val="read"/>
          <w:rFonts w:ascii="Arial" w:hAnsi="Arial" w:cs="Arial"/>
          <w:bCs/>
          <w:szCs w:val="21"/>
        </w:rPr>
      </w:pPr>
      <w:r w:rsidRPr="000D3C71">
        <w:rPr>
          <w:rStyle w:val="read"/>
          <w:rFonts w:ascii="Arial" w:hAnsi="Arial" w:cs="Arial"/>
          <w:szCs w:val="21"/>
          <w:lang w:val="en"/>
        </w:rPr>
        <w:t>If the Fund Manager or Fund Custodian discovers that valuations contravene the Fund Contract’s prescribed methodology, procedures, or relevant laws and regulations, or fail to fully protect the interests of Fund Unitholders, both parties shall promptly notify each other, jointly investigate the cause, and resolve the matter through consultation.</w:t>
      </w:r>
    </w:p>
    <w:p w14:paraId="5D8DA939"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Pursuant to applicable laws and regulations, the Fund Manager bears the responsibility for calculating the Fund’s NAV and for fund accounting. The Fund Manager serves as the fund accounting party for the Fund. Therefore, where disagreement over accounting matters related to the Fund persists despite full discussion on an equal basis, the Fund Manager’s NAV calculation shall be used for public disclosure.</w:t>
      </w:r>
    </w:p>
    <w:p w14:paraId="1EA1DB4E"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(IV) Valuation Procedures</w:t>
      </w:r>
    </w:p>
    <w:p w14:paraId="426712E2"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 xml:space="preserve">1. The NAV per Unit shall be calculated after market close on each business day by dividing the Fund’s NAV by the total number of Fund Units outstanding on that day, accurate to RMB 0.0001, rounded at the fifth decimal place. Where national regulations provide otherwise, such provisions shall apply. </w:t>
      </w:r>
    </w:p>
    <w:p w14:paraId="074C2FE3"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Fund’s NAV and NAV per Unit shall be calculated and disclosed on each business day as required.</w:t>
      </w:r>
    </w:p>
    <w:p w14:paraId="10D5CB65"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The Fund Manager shall value the Fund’s assets each business day, except when valuation is suspended in accordance with laws, regulations, or the Fund Contract. After valuing the Fund’s assets each business day, the Fund Manager shall transmit the NAV per Unit result to the Fund Custodian for verification; once confirmed, the Fund Manager shall release the result publicly.</w:t>
      </w:r>
    </w:p>
    <w:p w14:paraId="74E89072"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 Handling of Valuation Errors</w:t>
      </w:r>
    </w:p>
    <w:p w14:paraId="18FA4C71"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Manager and Fund Custodian shall take all necessary, appropriate, and reasonable measures to ensure valuation accuracy and timeliness. A valuation error is deemed to occur if there is a deviation affecting the NAV per Unit within the first four decimal places (inclusive).</w:t>
      </w:r>
    </w:p>
    <w:p w14:paraId="55535B99"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Parties to the Fund Contract shall handle valuation errors as follows:</w:t>
      </w:r>
    </w:p>
    <w:p w14:paraId="79EDE088"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Types of Valuation Errors</w:t>
      </w:r>
    </w:p>
    <w:p w14:paraId="35CBCD73"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 xml:space="preserve">If a valuation error occurs due to the fault of the Fund Manager, Fund Custodian, Registration and Clearing Agency, distributor, or an investor, causing losses to another party, the responsible party shall compensate the direct losses of the aggrieved party (“Aggrieved Party”) in accordance with the “Principles for Handling Valuation Errors” below. </w:t>
      </w:r>
    </w:p>
    <w:p w14:paraId="66957AFC"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main types of such errors include, without limitation, errors in data filing, data transmission, data computation, system malfunctions, and erroneous instructions.</w:t>
      </w:r>
    </w:p>
    <w:p w14:paraId="0F9BF6F5"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Principles for Handling Valuation Errors</w:t>
      </w:r>
    </w:p>
    <w:p w14:paraId="6D5DCD93" w14:textId="77777777" w:rsidR="003F7068"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Where an error has occurred but no losses have yet resulted, the responsible party shall promptly coordinate all parties to correct it, bearing any associated costs. If failure to correct the existing error in time leads to losses, the responsible party shall compensate for the direct losses. If a party with an obligation to assist has sufficient time to make a correction but fails to do so, that party shall bear corresponding liability for compensation.</w:t>
      </w:r>
    </w:p>
    <w:p w14:paraId="42A45F90"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The responsible party is liable only for direct losses of the relevant direct parties, not for indirect losses, and only to the directly affected parties, excluding third parties.</w:t>
      </w:r>
    </w:p>
    <w:p w14:paraId="36F2E52A"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Any party unjustly enriched as a result of a valuation error has an obligation to promptly return the unjust enrichment. The party at fault remains responsible for the valuation error. If the unjustly enriched party fails to return or fully return the unjust enrichment, causing a loss to another party (the “Aggrieved Party”), the responsible party shall compensate the Aggrieved Party’s loss and, to the extent of the compensation paid, shall be entitled to claim the unjust enrichment from the unjustly enriched party. If the unjustly enriched party has already returned this unjust enrichment to the Aggrieved Party, the Aggrieved Party shall pay to the responsible party the amount by which the sum of the compensation received and the unjust enrichment returned exceeds its actual loss.</w:t>
      </w:r>
    </w:p>
    <w:p w14:paraId="1F4E4B89"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Adjustments for valuation errors shall be made in a manner that, as much as possible, restores the situation to the correct state that would have existed had the error not occurred.</w:t>
      </w:r>
    </w:p>
    <w:p w14:paraId="19B480FE"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Procedure for Handling Valuation Errors</w:t>
      </w:r>
    </w:p>
    <w:p w14:paraId="3CC548EB"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Upon discovery of a valuation error, the relevant parties shall handle it promptly as follows:</w:t>
      </w:r>
    </w:p>
    <w:p w14:paraId="778B457F"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Ascertain the cause of the valuation error, list all involved parties, and determine the responsible party based on the cause;</w:t>
      </w:r>
    </w:p>
    <w:p w14:paraId="34F60915"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Assess the resulting losses in accordance with the handling principles or a method agreed upon by the parties;</w:t>
      </w:r>
    </w:p>
    <w:p w14:paraId="5DC72C7D"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The responsible party shall make corrections and pay compensation in accordance with the handling principles or a method agreed upon by the parties;</w:t>
      </w:r>
    </w:p>
    <w:p w14:paraId="3D02AAA6"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Where the handling method requires modification of the Registration and Clearing Agency’s transaction data, the Registration and Clearing Agency shall execute the necessary corrections.</w:t>
      </w:r>
    </w:p>
    <w:p w14:paraId="2A598A15"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Methods for Handling NAV per Unit Valuation Errors</w:t>
      </w:r>
    </w:p>
    <w:p w14:paraId="4813110F"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When an error in NAV per Unit calculation occurs, the Fund Manager shall immediately correct it, inform the Fund Custodian, and take reasonable steps to prevent further loss.</w:t>
      </w:r>
    </w:p>
    <w:p w14:paraId="1E824697"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If the deviation reaches 0.25% of the NAV per Unit, the Fund Manager shall notify the Fund Custodian and file a report with the CSRC; if it reaches 0.5%, the Fund Manager shall also make a public announcement.</w:t>
      </w:r>
    </w:p>
    <w:p w14:paraId="06DAD60B"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Where otherwise stipulated by laws, regulations, or regulatory authorities, such provisions shall govern the handling of the matter.</w:t>
      </w:r>
    </w:p>
    <w:p w14:paraId="1452068B"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(VI) Circumstances for Suspending Valuation</w:t>
      </w:r>
    </w:p>
    <w:p w14:paraId="29D1ABDC"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When a relevant securities exchange is closed for statutory holidays or for other reasons;</w:t>
      </w:r>
    </w:p>
    <w:p w14:paraId="6BBAD496"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When force majeure prevents the Fund Manager and Fund Custodian from accurately assessing the value of Fund assets;</w:t>
      </w:r>
    </w:p>
    <w:p w14:paraId="797A6B23" w14:textId="77777777" w:rsidR="0079011E"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When, as of the previous valuation date, over 50% of the Fund’s NAV comprises assets for which no quoted price in an active market is available and the use of valuation techniques still yields material uncertainty as to their fair value, the Fund Manager shall suspend Fund valuation upon consultation and agreement with the Fund Custodian;</w:t>
      </w:r>
    </w:p>
    <w:p w14:paraId="686D063D"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Any other circumstance as determined by the CSRC or stipulated in the Fund Contract.</w:t>
      </w:r>
    </w:p>
    <w:p w14:paraId="39953AFC"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(VII) Confirmation of Fund NAV</w:t>
      </w:r>
    </w:p>
    <w:p w14:paraId="2D04B3CF"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Manager shall calculate and the Fund Custodian shall verify the Fund NAV information used for disclosure. After market close on each dealing day, the Fund Manager shall compute the Fund’s NAV and NAV per Unit and deliver the results to the Fund Custodian. The Fund Custodian shall review and confirm the NAV calculation results and send them to the Fund Manager, who shall then publish the Fund NAV.</w:t>
      </w:r>
    </w:p>
    <w:p w14:paraId="2872D302"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(VIII) Handling of Special Situations</w:t>
      </w:r>
    </w:p>
    <w:p w14:paraId="5815C027"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Errors arising from valuations conducted under Item 8 of the Valuation Methods shall not be treated as Fund asset valuation errors.</w:t>
      </w:r>
    </w:p>
    <w:p w14:paraId="55797C7F" w14:textId="77777777" w:rsidR="0081561B"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If losses to the Fund result from incorrect data transmitted by a securities exchange or its registration and clearing company, or from other force majeure events, and the Fund Manager and Custodian could not detect the error despite having taken necessary, appropriate, and reasonable measures to check for it, they may be exempted from liability for compensation. Nevertheless, they must take all necessary measures to eliminate the impact resulting therefrom.</w:t>
      </w:r>
    </w:p>
    <w:p w14:paraId="30A9F64B" w14:textId="2CE8877D" w:rsidR="0081561B" w:rsidRPr="000D3C71" w:rsidRDefault="00953439" w:rsidP="002C372A">
      <w:pPr>
        <w:pStyle w:val="Heading3"/>
        <w:rPr>
          <w:rFonts w:ascii="Arial" w:hAnsi="Arial" w:cs="Arial"/>
        </w:rPr>
      </w:pPr>
      <w:bookmarkStart w:id="113" w:name="_Toc340435597"/>
      <w:bookmarkStart w:id="114" w:name="_Toc340435527"/>
      <w:bookmarkStart w:id="115" w:name="_Toc329633098"/>
      <w:bookmarkStart w:id="116" w:name="_Toc127083928"/>
      <w:bookmarkStart w:id="117" w:name="_Toc211640953"/>
      <w:r w:rsidRPr="000D3C71">
        <w:rPr>
          <w:rFonts w:ascii="Arial" w:hAnsi="Arial" w:cs="Arial"/>
          <w:bCs/>
          <w:lang w:val="en"/>
        </w:rPr>
        <w:t xml:space="preserve">XIV. </w:t>
      </w:r>
      <w:r w:rsidR="00CF5276" w:rsidRPr="000D3C71">
        <w:rPr>
          <w:rFonts w:ascii="Arial" w:hAnsi="Arial" w:cs="Arial"/>
          <w:bCs/>
          <w:lang w:val="en"/>
        </w:rPr>
        <w:t xml:space="preserve">Fund Income </w:t>
      </w:r>
      <w:r w:rsidR="00CF5276">
        <w:rPr>
          <w:rFonts w:ascii="Arial" w:hAnsi="Arial" w:cs="Arial" w:hint="eastAsia"/>
          <w:bCs/>
          <w:lang w:val="en"/>
        </w:rPr>
        <w:t>a</w:t>
      </w:r>
      <w:r w:rsidR="00CF5276" w:rsidRPr="000D3C71">
        <w:rPr>
          <w:rFonts w:ascii="Arial" w:hAnsi="Arial" w:cs="Arial"/>
          <w:bCs/>
          <w:lang w:val="en"/>
        </w:rPr>
        <w:t>nd Distribution</w:t>
      </w:r>
      <w:bookmarkEnd w:id="113"/>
      <w:bookmarkEnd w:id="114"/>
      <w:bookmarkEnd w:id="115"/>
      <w:bookmarkEnd w:id="116"/>
      <w:bookmarkEnd w:id="117"/>
    </w:p>
    <w:p w14:paraId="035A7324" w14:textId="77777777" w:rsidR="0081561B" w:rsidRPr="000D3C71" w:rsidRDefault="00953439" w:rsidP="00503FB4">
      <w:pPr>
        <w:pStyle w:val="affd"/>
        <w:spacing w:line="360" w:lineRule="auto"/>
        <w:ind w:firstLineChars="225" w:firstLine="473"/>
        <w:rPr>
          <w:rFonts w:ascii="Arial" w:hAnsi="Arial" w:cs="Arial"/>
          <w:bCs/>
          <w:szCs w:val="21"/>
        </w:rPr>
      </w:pPr>
      <w:r w:rsidRPr="000D3C71">
        <w:rPr>
          <w:rFonts w:ascii="Arial" w:hAnsi="Arial" w:cs="Arial"/>
          <w:szCs w:val="21"/>
          <w:lang w:val="en"/>
        </w:rPr>
        <w:t>(I) Principles of Fund Income Distribution</w:t>
      </w:r>
    </w:p>
    <w:p w14:paraId="3FFFE207" w14:textId="77777777" w:rsidR="00C204C3"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1. Each Fund Unit carries equal distribution rights.</w:t>
      </w:r>
    </w:p>
    <w:p w14:paraId="568EF7FD" w14:textId="77777777" w:rsidR="00C204C3" w:rsidRPr="000D3C71" w:rsidRDefault="00953439" w:rsidP="00DF628C">
      <w:pPr>
        <w:pStyle w:val="af6"/>
        <w:rPr>
          <w:rFonts w:ascii="Arial" w:hAnsi="Arial" w:cs="Arial"/>
        </w:rPr>
      </w:pPr>
      <w:r w:rsidRPr="000D3C71">
        <w:rPr>
          <w:rFonts w:ascii="Arial" w:hAnsi="Arial" w:cs="Arial"/>
          <w:lang w:val="en"/>
        </w:rPr>
        <w:t>2. Income may be distributed when, on the income valuation date, the Fund’s cumulative return exceeds that of its Underlying Index for the same period by at least 1%.</w:t>
      </w:r>
    </w:p>
    <w:p w14:paraId="45CC8FC2" w14:textId="77777777" w:rsidR="00C204C3" w:rsidRPr="000D3C71" w:rsidRDefault="00953439">
      <w:pPr>
        <w:pStyle w:val="af6"/>
        <w:rPr>
          <w:rFonts w:ascii="Arial" w:hAnsi="Arial" w:cs="Arial"/>
        </w:rPr>
      </w:pPr>
      <w:r w:rsidRPr="000D3C71">
        <w:rPr>
          <w:rFonts w:ascii="Arial" w:hAnsi="Arial" w:cs="Arial"/>
          <w:lang w:val="en"/>
        </w:rPr>
        <w:t>3. Fund income shall be distributed in cash.</w:t>
      </w:r>
    </w:p>
    <w:p w14:paraId="53B3E010" w14:textId="77777777" w:rsidR="00C204C3" w:rsidRPr="000D3C71" w:rsidRDefault="00953439">
      <w:pPr>
        <w:pStyle w:val="affd"/>
        <w:spacing w:line="360" w:lineRule="auto"/>
        <w:ind w:firstLineChars="200" w:firstLine="420"/>
        <w:rPr>
          <w:rFonts w:ascii="Arial" w:hAnsi="Arial" w:cs="Arial"/>
        </w:rPr>
      </w:pPr>
      <w:r w:rsidRPr="000D3C71">
        <w:rPr>
          <w:rFonts w:ascii="Arial" w:hAnsi="Arial" w:cs="Arial"/>
          <w:lang w:val="en"/>
        </w:rPr>
        <w:t>4. Provided that the conditions for income distribution are met, the Fund may distribute income no more than four times per year. The amount of each distribution shall be determined so as to bring the Fund’s cumulative return after the distribution as close as possible to the cumulative return of the Underlying Index for the same period.</w:t>
      </w:r>
    </w:p>
    <w:p w14:paraId="36A7B6CE"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5. If the Fund Contract has been in effect for less than three months, no income distribution is required.</w:t>
      </w:r>
    </w:p>
    <w:p w14:paraId="5B1CD360" w14:textId="77777777" w:rsidR="003F7068"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6. Where laws and regulations, or regulatory authorities, provide otherwise, such provisions shall prevail.</w:t>
      </w:r>
    </w:p>
    <w:p w14:paraId="7BE60235" w14:textId="77777777" w:rsidR="0081561B" w:rsidRPr="000D3C71" w:rsidRDefault="00953439">
      <w:pPr>
        <w:pStyle w:val="affd"/>
        <w:spacing w:line="360" w:lineRule="auto"/>
        <w:ind w:firstLineChars="200" w:firstLine="420"/>
        <w:rPr>
          <w:rFonts w:ascii="Arial" w:hAnsi="Arial" w:cs="Arial"/>
          <w:szCs w:val="21"/>
        </w:rPr>
      </w:pPr>
      <w:r w:rsidRPr="000D3C71">
        <w:rPr>
          <w:rFonts w:ascii="Arial" w:hAnsi="Arial" w:cs="Arial"/>
          <w:lang w:val="en"/>
        </w:rPr>
        <w:t>Subject to compliance with laws and regulations, the Fund Manager and the Registration and Clearing Agency may adjust the business rules for income distribution and shall promptly announce any such adjustment.</w:t>
      </w:r>
    </w:p>
    <w:p w14:paraId="41EFA084" w14:textId="77777777" w:rsidR="0081561B" w:rsidRPr="000D3C71" w:rsidRDefault="00953439">
      <w:pPr>
        <w:pStyle w:val="affd"/>
        <w:spacing w:line="360" w:lineRule="auto"/>
        <w:ind w:firstLineChars="225" w:firstLine="473"/>
        <w:rPr>
          <w:rFonts w:ascii="Arial" w:hAnsi="Arial" w:cs="Arial"/>
          <w:bCs/>
          <w:szCs w:val="21"/>
        </w:rPr>
      </w:pPr>
      <w:r w:rsidRPr="000D3C71">
        <w:rPr>
          <w:rFonts w:ascii="Arial" w:hAnsi="Arial" w:cs="Arial"/>
          <w:szCs w:val="21"/>
          <w:lang w:val="en"/>
        </w:rPr>
        <w:t>(II) Income Distribution Plan</w:t>
      </w:r>
    </w:p>
    <w:p w14:paraId="20EDCC22" w14:textId="77777777" w:rsidR="0081561B" w:rsidRPr="000D3C71" w:rsidRDefault="00953439">
      <w:pPr>
        <w:pStyle w:val="affd"/>
        <w:spacing w:line="360" w:lineRule="auto"/>
        <w:ind w:firstLineChars="225" w:firstLine="473"/>
        <w:rPr>
          <w:rFonts w:ascii="Arial" w:hAnsi="Arial" w:cs="Arial"/>
          <w:bCs/>
          <w:szCs w:val="21"/>
        </w:rPr>
      </w:pPr>
      <w:r w:rsidRPr="000D3C71">
        <w:rPr>
          <w:rFonts w:ascii="Arial" w:hAnsi="Arial" w:cs="Arial"/>
          <w:szCs w:val="21"/>
          <w:lang w:val="en"/>
        </w:rPr>
        <w:t>The income distribution plan shall specify the distribution recipients, distribution time, distribution amount and proportion, distribution method, and other relevant details.</w:t>
      </w:r>
    </w:p>
    <w:p w14:paraId="5DBD0892" w14:textId="77777777" w:rsidR="0022743A" w:rsidRPr="000D3C71" w:rsidRDefault="00953439" w:rsidP="002C372A">
      <w:pPr>
        <w:pStyle w:val="affd"/>
        <w:autoSpaceDE w:val="0"/>
        <w:autoSpaceDN w:val="0"/>
        <w:spacing w:line="360" w:lineRule="auto"/>
        <w:ind w:firstLine="420"/>
        <w:textAlignment w:val="bottom"/>
        <w:rPr>
          <w:rFonts w:ascii="Arial" w:hAnsi="Arial" w:cs="Arial"/>
        </w:rPr>
      </w:pPr>
      <w:r w:rsidRPr="000D3C71">
        <w:rPr>
          <w:rFonts w:ascii="Arial" w:hAnsi="Arial" w:cs="Arial"/>
          <w:lang w:val="en"/>
        </w:rPr>
        <w:t>(III) Principles for Determining Distributable Income</w:t>
      </w:r>
    </w:p>
    <w:p w14:paraId="37FEA92C" w14:textId="77777777" w:rsidR="0022743A" w:rsidRPr="000D3C71" w:rsidRDefault="00953439" w:rsidP="002C372A">
      <w:pPr>
        <w:pStyle w:val="affd"/>
        <w:autoSpaceDE w:val="0"/>
        <w:autoSpaceDN w:val="0"/>
        <w:spacing w:line="360" w:lineRule="auto"/>
        <w:ind w:firstLine="420"/>
        <w:textAlignment w:val="bottom"/>
        <w:rPr>
          <w:rFonts w:ascii="Arial" w:hAnsi="Arial" w:cs="Arial"/>
        </w:rPr>
      </w:pPr>
      <w:r w:rsidRPr="000D3C71">
        <w:rPr>
          <w:rFonts w:ascii="Arial" w:hAnsi="Arial" w:cs="Arial"/>
          <w:lang w:val="en"/>
        </w:rPr>
        <w:t>1. On the income valuation date, the Fund Manager shall calculate the cumulative return of the Fund and that of the Underlying Index.</w:t>
      </w:r>
    </w:p>
    <w:p w14:paraId="3FACD88C" w14:textId="77777777" w:rsidR="0022743A" w:rsidRPr="000D3C71" w:rsidRDefault="00953439" w:rsidP="002C372A">
      <w:pPr>
        <w:pStyle w:val="affd"/>
        <w:autoSpaceDE w:val="0"/>
        <w:autoSpaceDN w:val="0"/>
        <w:spacing w:line="360" w:lineRule="auto"/>
        <w:ind w:firstLine="420"/>
        <w:textAlignment w:val="bottom"/>
        <w:rPr>
          <w:rFonts w:ascii="Arial" w:hAnsi="Arial" w:cs="Arial"/>
        </w:rPr>
      </w:pPr>
      <w:r w:rsidRPr="000D3C71">
        <w:rPr>
          <w:rFonts w:ascii="Arial" w:hAnsi="Arial" w:cs="Arial"/>
          <w:lang w:val="en"/>
        </w:rPr>
        <w:t>The Fund’s cumulative return is the ratio of the NAV per Unit on the income valuation date to the NAV per Unit on the unit conversion date, minus 100%; the Underlying Index’s cumulative return is the ratio of its closing price on the income valuation date to its closing price on the unit conversion date, minus 100%.</w:t>
      </w:r>
    </w:p>
    <w:p w14:paraId="64FC4B59" w14:textId="77777777" w:rsidR="0022743A" w:rsidRPr="000D3C71" w:rsidRDefault="00953439" w:rsidP="002C372A">
      <w:pPr>
        <w:pStyle w:val="affd"/>
        <w:autoSpaceDE w:val="0"/>
        <w:autoSpaceDN w:val="0"/>
        <w:spacing w:line="360" w:lineRule="auto"/>
        <w:ind w:firstLine="420"/>
        <w:textAlignment w:val="bottom"/>
        <w:rPr>
          <w:rFonts w:ascii="Arial" w:hAnsi="Arial" w:cs="Arial"/>
          <w:kern w:val="0"/>
          <w:szCs w:val="21"/>
        </w:rPr>
      </w:pPr>
      <w:r w:rsidRPr="000D3C71">
        <w:rPr>
          <w:rFonts w:ascii="Arial" w:hAnsi="Arial" w:cs="Arial"/>
          <w:lang w:val="en"/>
        </w:rPr>
        <w:t>The Fund Manager shall calculate the excess return of the Fund over the Underlying Index as of the income valuation date. When this excess exceeds 1%, the Fund may distribute income.</w:t>
      </w:r>
    </w:p>
    <w:p w14:paraId="3DE38307" w14:textId="77777777" w:rsidR="0022743A" w:rsidRPr="000D3C71" w:rsidRDefault="00953439" w:rsidP="002C372A">
      <w:pPr>
        <w:pStyle w:val="affd"/>
        <w:autoSpaceDE w:val="0"/>
        <w:autoSpaceDN w:val="0"/>
        <w:spacing w:line="360" w:lineRule="auto"/>
        <w:ind w:firstLine="420"/>
        <w:textAlignment w:val="bottom"/>
        <w:rPr>
          <w:rFonts w:ascii="Arial" w:hAnsi="Arial" w:cs="Arial"/>
        </w:rPr>
      </w:pPr>
      <w:r w:rsidRPr="000D3C71">
        <w:rPr>
          <w:rFonts w:ascii="Arial" w:hAnsi="Arial" w:cs="Arial"/>
          <w:lang w:val="en"/>
        </w:rPr>
        <w:t>If a unit conversion or split occurs during the period, the above indicators shall be recalculated with the conversion or split date as the new initial date.</w:t>
      </w:r>
    </w:p>
    <w:p w14:paraId="5C267A62" w14:textId="77777777" w:rsidR="0022743A" w:rsidRPr="000D3C71" w:rsidRDefault="00953439" w:rsidP="002C372A">
      <w:pPr>
        <w:pStyle w:val="affd"/>
        <w:autoSpaceDE w:val="0"/>
        <w:autoSpaceDN w:val="0"/>
        <w:spacing w:line="360" w:lineRule="auto"/>
        <w:ind w:firstLine="420"/>
        <w:textAlignment w:val="bottom"/>
        <w:rPr>
          <w:rFonts w:ascii="Arial" w:hAnsi="Arial" w:cs="Arial"/>
        </w:rPr>
      </w:pPr>
      <w:r w:rsidRPr="000D3C71">
        <w:rPr>
          <w:rFonts w:ascii="Arial" w:hAnsi="Arial" w:cs="Arial"/>
          <w:lang w:val="en"/>
        </w:rPr>
        <w:t>2. The amount of distributable income shall be determined in accordance with the above principles.</w:t>
      </w:r>
    </w:p>
    <w:p w14:paraId="4B31EF72" w14:textId="77777777" w:rsidR="0081561B" w:rsidRPr="000D3C71" w:rsidRDefault="00953439" w:rsidP="00503FB4">
      <w:pPr>
        <w:pStyle w:val="affd"/>
        <w:spacing w:line="360" w:lineRule="auto"/>
        <w:ind w:firstLineChars="225" w:firstLine="473"/>
        <w:rPr>
          <w:rFonts w:ascii="Arial" w:hAnsi="Arial" w:cs="Arial"/>
          <w:bCs/>
          <w:szCs w:val="21"/>
        </w:rPr>
      </w:pPr>
      <w:r w:rsidRPr="000D3C71">
        <w:rPr>
          <w:rFonts w:ascii="Arial" w:hAnsi="Arial" w:cs="Arial"/>
          <w:szCs w:val="21"/>
          <w:lang w:val="en"/>
        </w:rPr>
        <w:t>(IV) Determination, Announcement, and Implementation of the Income Distribution Plan</w:t>
      </w:r>
    </w:p>
    <w:p w14:paraId="55BBCD31" w14:textId="77777777" w:rsidR="0081561B" w:rsidRPr="000D3C71" w:rsidRDefault="00953439" w:rsidP="00503FB4">
      <w:pPr>
        <w:pStyle w:val="affd"/>
        <w:spacing w:line="360" w:lineRule="auto"/>
        <w:ind w:firstLineChars="225" w:firstLine="473"/>
        <w:rPr>
          <w:rFonts w:ascii="Arial" w:hAnsi="Arial" w:cs="Arial"/>
          <w:bCs/>
          <w:szCs w:val="21"/>
        </w:rPr>
      </w:pPr>
      <w:r w:rsidRPr="000D3C71">
        <w:rPr>
          <w:rFonts w:ascii="Arial" w:hAnsi="Arial" w:cs="Arial"/>
          <w:szCs w:val="21"/>
          <w:lang w:val="en"/>
        </w:rPr>
        <w:t>The Fund’s income distribution plan shall be formulated by the Fund Manager, reviewed by the Fund Custodian, and announced through designated media in accordance with applicable laws and regulations.</w:t>
      </w:r>
    </w:p>
    <w:p w14:paraId="20BBB668" w14:textId="77777777" w:rsidR="0081561B" w:rsidRPr="000D3C71" w:rsidRDefault="00953439" w:rsidP="00DF628C">
      <w:pPr>
        <w:pStyle w:val="affd"/>
        <w:spacing w:line="360" w:lineRule="auto"/>
        <w:ind w:firstLineChars="225" w:firstLine="473"/>
        <w:rPr>
          <w:rFonts w:ascii="Arial" w:hAnsi="Arial" w:cs="Arial"/>
          <w:bCs/>
          <w:szCs w:val="21"/>
        </w:rPr>
      </w:pPr>
      <w:r w:rsidRPr="000D3C71">
        <w:rPr>
          <w:rFonts w:ascii="Arial" w:hAnsi="Arial" w:cs="Arial"/>
          <w:szCs w:val="21"/>
          <w:lang w:val="en"/>
        </w:rPr>
        <w:t>The dividend payment date shall be no later than 15 business days after the distribution record date.</w:t>
      </w:r>
    </w:p>
    <w:p w14:paraId="5C5172F2" w14:textId="77777777" w:rsidR="0081561B" w:rsidRPr="000D3C71" w:rsidRDefault="00953439">
      <w:pPr>
        <w:pStyle w:val="affd"/>
        <w:spacing w:line="360" w:lineRule="auto"/>
        <w:ind w:firstLineChars="225" w:firstLine="473"/>
        <w:rPr>
          <w:rFonts w:ascii="Arial" w:hAnsi="Arial" w:cs="Arial"/>
          <w:bCs/>
          <w:szCs w:val="21"/>
        </w:rPr>
      </w:pPr>
      <w:r w:rsidRPr="000D3C71">
        <w:rPr>
          <w:rFonts w:ascii="Arial" w:hAnsi="Arial" w:cs="Arial"/>
          <w:szCs w:val="21"/>
          <w:lang w:val="en"/>
        </w:rPr>
        <w:t>(V) Expenses Incurred in Income Distribution</w:t>
      </w:r>
    </w:p>
    <w:p w14:paraId="3BB38C79" w14:textId="77777777" w:rsidR="0081561B" w:rsidRPr="000D3C71" w:rsidRDefault="00953439">
      <w:pPr>
        <w:pStyle w:val="NormalIndent"/>
        <w:spacing w:line="360" w:lineRule="auto"/>
        <w:rPr>
          <w:rFonts w:ascii="Arial" w:hAnsi="Arial" w:cs="Arial"/>
        </w:rPr>
      </w:pPr>
      <w:r w:rsidRPr="000D3C71">
        <w:rPr>
          <w:rFonts w:ascii="Arial" w:hAnsi="Arial" w:cs="Arial"/>
          <w:lang w:val="en"/>
        </w:rPr>
        <w:t>Bank transfer or other handling fees arising from income distribution shall be borne by investors.</w:t>
      </w:r>
    </w:p>
    <w:p w14:paraId="7220E0A3" w14:textId="399E2907" w:rsidR="0081561B" w:rsidRPr="000D3C71" w:rsidRDefault="00953439" w:rsidP="002C372A">
      <w:pPr>
        <w:pStyle w:val="Heading3"/>
        <w:rPr>
          <w:rFonts w:ascii="Arial" w:hAnsi="Arial" w:cs="Arial"/>
        </w:rPr>
      </w:pPr>
      <w:bookmarkStart w:id="118" w:name="_Toc340435598"/>
      <w:bookmarkStart w:id="119" w:name="_Toc340435528"/>
      <w:bookmarkStart w:id="120" w:name="_Toc329633099"/>
      <w:bookmarkStart w:id="121" w:name="_Toc127083929"/>
      <w:bookmarkStart w:id="122" w:name="_Toc211640954"/>
      <w:r w:rsidRPr="000D3C71">
        <w:rPr>
          <w:rFonts w:ascii="Arial" w:hAnsi="Arial" w:cs="Arial"/>
          <w:bCs/>
          <w:lang w:val="en"/>
        </w:rPr>
        <w:t xml:space="preserve">XV. </w:t>
      </w:r>
      <w:r w:rsidR="003956C3" w:rsidRPr="000D3C71">
        <w:rPr>
          <w:rFonts w:ascii="Arial" w:hAnsi="Arial" w:cs="Arial"/>
          <w:bCs/>
          <w:lang w:val="en"/>
        </w:rPr>
        <w:t xml:space="preserve">Fund Expenses </w:t>
      </w:r>
      <w:r w:rsidR="003956C3">
        <w:rPr>
          <w:rFonts w:ascii="Arial" w:hAnsi="Arial" w:cs="Arial" w:hint="eastAsia"/>
          <w:bCs/>
          <w:lang w:val="en"/>
        </w:rPr>
        <w:t>a</w:t>
      </w:r>
      <w:r w:rsidR="003956C3" w:rsidRPr="000D3C71">
        <w:rPr>
          <w:rFonts w:ascii="Arial" w:hAnsi="Arial" w:cs="Arial"/>
          <w:bCs/>
          <w:lang w:val="en"/>
        </w:rPr>
        <w:t>nd Taxation</w:t>
      </w:r>
      <w:bookmarkEnd w:id="118"/>
      <w:bookmarkEnd w:id="119"/>
      <w:bookmarkEnd w:id="120"/>
      <w:bookmarkEnd w:id="121"/>
      <w:bookmarkEnd w:id="122"/>
    </w:p>
    <w:p w14:paraId="7256AF85" w14:textId="77777777" w:rsidR="0081561B" w:rsidRPr="000D3C71" w:rsidRDefault="00953439" w:rsidP="00503FB4">
      <w:pPr>
        <w:pStyle w:val="affd"/>
        <w:spacing w:line="360" w:lineRule="auto"/>
        <w:ind w:firstLineChars="200" w:firstLine="420"/>
        <w:rPr>
          <w:rFonts w:ascii="Arial" w:hAnsi="Arial" w:cs="Arial"/>
          <w:szCs w:val="21"/>
        </w:rPr>
      </w:pPr>
      <w:bookmarkStart w:id="123" w:name="_Toc340435529"/>
      <w:r w:rsidRPr="000D3C71">
        <w:rPr>
          <w:rFonts w:ascii="Arial" w:hAnsi="Arial" w:cs="Arial"/>
          <w:szCs w:val="21"/>
          <w:lang w:val="en"/>
        </w:rPr>
        <w:t>(I) Fund Operating Expenses</w:t>
      </w:r>
      <w:bookmarkEnd w:id="123"/>
    </w:p>
    <w:p w14:paraId="02986726" w14:textId="77777777" w:rsidR="0081561B" w:rsidRPr="000D3C71" w:rsidRDefault="00953439" w:rsidP="00503FB4">
      <w:pPr>
        <w:pStyle w:val="affd"/>
        <w:spacing w:line="360" w:lineRule="auto"/>
        <w:ind w:firstLineChars="200" w:firstLine="420"/>
        <w:rPr>
          <w:rFonts w:ascii="Arial" w:hAnsi="Arial" w:cs="Arial"/>
          <w:szCs w:val="21"/>
        </w:rPr>
      </w:pPr>
      <w:bookmarkStart w:id="124" w:name="_Toc340435530"/>
      <w:r w:rsidRPr="000D3C71">
        <w:rPr>
          <w:rFonts w:ascii="Arial" w:hAnsi="Arial" w:cs="Arial"/>
          <w:szCs w:val="21"/>
          <w:lang w:val="en"/>
        </w:rPr>
        <w:t>1. Types of Fund Expenses</w:t>
      </w:r>
      <w:bookmarkEnd w:id="124"/>
    </w:p>
    <w:p w14:paraId="2BB9CA96" w14:textId="77777777" w:rsidR="0081561B" w:rsidRPr="000D3C71" w:rsidRDefault="00953439" w:rsidP="00DF628C">
      <w:pPr>
        <w:pStyle w:val="affd"/>
        <w:spacing w:line="360" w:lineRule="auto"/>
        <w:ind w:firstLineChars="200" w:firstLine="420"/>
        <w:rPr>
          <w:rFonts w:ascii="Arial" w:hAnsi="Arial" w:cs="Arial"/>
          <w:szCs w:val="21"/>
        </w:rPr>
      </w:pPr>
      <w:r w:rsidRPr="000D3C71">
        <w:rPr>
          <w:rFonts w:ascii="Arial" w:hAnsi="Arial" w:cs="Arial"/>
          <w:szCs w:val="21"/>
          <w:lang w:val="en"/>
        </w:rPr>
        <w:t>During the Fund's operation, expenses paid from the Fund Property include:</w:t>
      </w:r>
    </w:p>
    <w:p w14:paraId="119DB5AA"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(1) the Fund Manager’s management fee;</w:t>
      </w:r>
    </w:p>
    <w:p w14:paraId="6A4EE4B7"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(2) the Fund Custodian’s custody fee;</w:t>
      </w:r>
    </w:p>
    <w:p w14:paraId="6FA935E4"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(3) information disclosure expenses related to the Fund after the Fund Contract takes effect, unless otherwise provided by laws, regulations, or the CSRC;</w:t>
      </w:r>
    </w:p>
    <w:p w14:paraId="49855DDE"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(4) accounting, legal, and litigation fees related to the Fund after the Fund Contract takes effect;</w:t>
      </w:r>
    </w:p>
    <w:p w14:paraId="1C6EF92C"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(5) Fund Unitholders' meeting expenses;</w:t>
      </w:r>
    </w:p>
    <w:p w14:paraId="6859D98F"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(6) expenses arising from securities trading or settlement (including but not limited to handling fees, stamp duty, regulatory charges, transfer fees, commissions, warrant settlement fees, margin financing expenses, securities account-related fees, and other similar costs);</w:t>
      </w:r>
    </w:p>
    <w:p w14:paraId="59FC3537"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(7) the Fund's bank remittance fees;</w:t>
      </w:r>
    </w:p>
    <w:p w14:paraId="3B9258E5"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(8) the Fund's initial and annual listing fees;</w:t>
      </w:r>
    </w:p>
    <w:p w14:paraId="786921D4"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(9) the Fund's registration and clearing fees;</w:t>
      </w:r>
    </w:p>
    <w:p w14:paraId="7443BDA5"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(10) expenses incurred in income distribution;</w:t>
      </w:r>
    </w:p>
    <w:p w14:paraId="65CF580D" w14:textId="77777777" w:rsidR="0081561B"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(11) other expenses chargeable to the Fund Property in accordance with relevant national regulations and the Fund Contract.</w:t>
      </w:r>
    </w:p>
    <w:p w14:paraId="5E71E754" w14:textId="77777777" w:rsidR="0081561B"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Subject to CSRC approval, the Fund may deduct a sales service fee from the Fund Property, with the specific accrual method and rate disclosed in the Prospectus or a related announcement.</w:t>
      </w:r>
    </w:p>
    <w:p w14:paraId="52C45DFA" w14:textId="77777777" w:rsidR="0081561B"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2. Accrual Methods, Rates, and Payment of Fund Expenses</w:t>
      </w:r>
    </w:p>
    <w:p w14:paraId="52561F34"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(1) Management Fee</w:t>
      </w:r>
    </w:p>
    <w:p w14:paraId="4CF7F07F"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 Fund’s management fee accrues daily at an annual rate of 0.15% of the previous day’s NAV of the Fund. The calculation method is as follows:</w:t>
      </w:r>
    </w:p>
    <w:p w14:paraId="5ED21379"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H = E × 0.15% ÷ number of days in the year</w:t>
      </w:r>
    </w:p>
    <w:p w14:paraId="3C41F2E8"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where: H is the daily management fee accrued</w:t>
      </w:r>
    </w:p>
    <w:p w14:paraId="491081FA"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E is the NAV of the Fund from the previous day.</w:t>
      </w:r>
    </w:p>
    <w:p w14:paraId="1957298A"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 management fee is calculated daily, accumulated to the end of each month, and paid monthly. The Fund Manager sends a payment instruction for the management fee to the Fund Custodian. After review, the Fund Custodian makes a one-time payment from the Fund Property to the Fund Manager within the first two business days of the following month. If the payment date falls on a statutory holiday or public holiday, it shall be postponed to the next business day.</w:t>
      </w:r>
    </w:p>
    <w:p w14:paraId="3FE1652E"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(2) Custody Fee</w:t>
      </w:r>
    </w:p>
    <w:p w14:paraId="44F36B94"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 Fund’s custody fee accrues daily at an annual rate of 0.05% of the previous day’s NAV of the Fund. The calculation method is as follows:</w:t>
      </w:r>
    </w:p>
    <w:p w14:paraId="4972ECC0"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H = E × 0.05% ÷ number of days in the year</w:t>
      </w:r>
    </w:p>
    <w:p w14:paraId="58F14F60"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where: H is the daily custody fee accrued.</w:t>
      </w:r>
    </w:p>
    <w:p w14:paraId="3C7EF69C"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E is the NAV of the Fund from the previous day.</w:t>
      </w:r>
    </w:p>
    <w:p w14:paraId="6DC78540"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 custody fee is calculated daily, accumulated to the end of each month, and paid monthly. The Fund Manager sends a payment instruction for the custody fee to the Fund Custodian. After review, the Fund Custodian makes a one-time withdrawal from the Fund Property within the first two business days of the following month. If the payment date falls on a statutory holiday or public holiday, it shall be postponed to the next business day.</w:t>
      </w:r>
    </w:p>
    <w:p w14:paraId="1A4FEC80" w14:textId="77777777" w:rsidR="00981079" w:rsidRPr="000D3C71" w:rsidRDefault="00953439">
      <w:pPr>
        <w:pStyle w:val="affd"/>
        <w:spacing w:line="360" w:lineRule="auto"/>
        <w:ind w:firstLineChars="200" w:firstLine="420"/>
        <w:rPr>
          <w:rFonts w:ascii="Arial" w:hAnsi="Arial" w:cs="Arial"/>
          <w:szCs w:val="21"/>
        </w:rPr>
      </w:pPr>
      <w:r w:rsidRPr="000D3C71">
        <w:rPr>
          <w:rFonts w:ascii="Arial" w:hAnsi="Arial" w:cs="Arial"/>
          <w:lang w:val="en"/>
        </w:rPr>
        <w:t>(3) Expenses listed under items (3) through (11) of paragraph 1 of section (I) herein shall be recorded or amortized against the current period's expenses at the actual amount incurred in accordance with applicable regulations and corresponding agreements, and shall be paid from the Fund Property by the Fund Custodian.</w:t>
      </w:r>
    </w:p>
    <w:p w14:paraId="0730B4E8"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3. Items Not Included in Fund Expenses</w:t>
      </w:r>
    </w:p>
    <w:p w14:paraId="7298E9EA"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 following shall not be charged as Fund expenses:</w:t>
      </w:r>
    </w:p>
    <w:p w14:paraId="6F52BAB4"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(1) expenses or losses to the Fund Property resulting from the Fund Manager's or Fund Custodian's failure to perform or fully perform their obligations;</w:t>
      </w:r>
    </w:p>
    <w:p w14:paraId="53D17F9B"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(2) expenses incurred by the Fund Manager and Fund Custodian in handling matters unrelated to the Fund's operations;</w:t>
      </w:r>
    </w:p>
    <w:p w14:paraId="27192CA9"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(3) expenses related to the Fund incurred prior to the Fund Contract Effective Date;</w:t>
      </w:r>
    </w:p>
    <w:p w14:paraId="0BD31096" w14:textId="77777777" w:rsidR="008455CC"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(4) Underlying Index licensing fees, which shall be borne by the Fund Manager and not paid out of the Fund Property;</w:t>
      </w:r>
    </w:p>
    <w:p w14:paraId="3B2FFF04"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(5) other items that may not be charged as Fund expenses according to relevant laws and regulations and the rules of the CSRC.</w:t>
      </w:r>
      <w:bookmarkStart w:id="125" w:name="_Hlt88827255"/>
      <w:bookmarkEnd w:id="125"/>
    </w:p>
    <w:p w14:paraId="3B5722F5"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(II) Fund Taxation</w:t>
      </w:r>
    </w:p>
    <w:p w14:paraId="18E4D711" w14:textId="77777777" w:rsidR="0081561B"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 tax obligations of all taxpayers involved in the Fund’s operations shall be governed by national tax laws and regulations.</w:t>
      </w:r>
    </w:p>
    <w:p w14:paraId="1E1B5449" w14:textId="5AF22C5D" w:rsidR="0081561B" w:rsidRPr="000D3C71" w:rsidRDefault="00953439" w:rsidP="002C372A">
      <w:pPr>
        <w:pStyle w:val="Heading3"/>
        <w:rPr>
          <w:rFonts w:ascii="Arial" w:hAnsi="Arial" w:cs="Arial"/>
        </w:rPr>
      </w:pPr>
      <w:bookmarkStart w:id="126" w:name="_Toc340435599"/>
      <w:bookmarkStart w:id="127" w:name="_Toc340435531"/>
      <w:bookmarkStart w:id="128" w:name="_Toc329633100"/>
      <w:bookmarkStart w:id="129" w:name="_Toc211640955"/>
      <w:r w:rsidRPr="000D3C71">
        <w:rPr>
          <w:rFonts w:ascii="Arial" w:hAnsi="Arial" w:cs="Arial"/>
          <w:bCs/>
          <w:lang w:val="en"/>
        </w:rPr>
        <w:t xml:space="preserve">XVI. </w:t>
      </w:r>
      <w:r w:rsidR="00BD32FD" w:rsidRPr="000D3C71">
        <w:rPr>
          <w:rFonts w:ascii="Arial" w:hAnsi="Arial" w:cs="Arial"/>
          <w:bCs/>
          <w:lang w:val="en"/>
        </w:rPr>
        <w:t xml:space="preserve">Fund Accounting </w:t>
      </w:r>
      <w:r w:rsidR="00BD32FD">
        <w:rPr>
          <w:rFonts w:ascii="Arial" w:hAnsi="Arial" w:cs="Arial" w:hint="eastAsia"/>
          <w:bCs/>
          <w:lang w:val="en"/>
        </w:rPr>
        <w:t>a</w:t>
      </w:r>
      <w:r w:rsidR="00BD32FD" w:rsidRPr="000D3C71">
        <w:rPr>
          <w:rFonts w:ascii="Arial" w:hAnsi="Arial" w:cs="Arial"/>
          <w:bCs/>
          <w:lang w:val="en"/>
        </w:rPr>
        <w:t>nd Auditing</w:t>
      </w:r>
      <w:bookmarkEnd w:id="126"/>
      <w:bookmarkEnd w:id="127"/>
      <w:bookmarkEnd w:id="128"/>
      <w:bookmarkEnd w:id="129"/>
    </w:p>
    <w:p w14:paraId="197D3556" w14:textId="77777777" w:rsidR="00C038A4"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(I) Fund Accounting Policies</w:t>
      </w:r>
    </w:p>
    <w:p w14:paraId="7373DC49" w14:textId="77777777" w:rsidR="00C204C3"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1. The Fund Manager is the party responsible for the Fund’s accounting.</w:t>
      </w:r>
    </w:p>
    <w:p w14:paraId="3ED6D7A1" w14:textId="77777777" w:rsidR="00C204C3" w:rsidRPr="000D3C71" w:rsidRDefault="00953439" w:rsidP="00DF628C">
      <w:pPr>
        <w:pStyle w:val="affd"/>
        <w:spacing w:line="360" w:lineRule="auto"/>
        <w:ind w:firstLineChars="200" w:firstLine="420"/>
        <w:rPr>
          <w:rFonts w:ascii="Arial" w:hAnsi="Arial" w:cs="Arial"/>
          <w:szCs w:val="21"/>
        </w:rPr>
      </w:pPr>
      <w:r w:rsidRPr="000D3C71">
        <w:rPr>
          <w:rFonts w:ascii="Arial" w:hAnsi="Arial" w:cs="Arial"/>
          <w:szCs w:val="21"/>
          <w:lang w:val="en"/>
        </w:rPr>
        <w:t>2. The Fund's fiscal year is the calendar year from January 1 to December 31.</w:t>
      </w:r>
    </w:p>
    <w:p w14:paraId="531AFFBF"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3. The Fund's accounts are maintained in RMB as the functional currency, with the RMB yuan as the unit of account.</w:t>
      </w:r>
    </w:p>
    <w:p w14:paraId="4DD22E6F"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4. Accounting practices shall comply with applicable national accounting standards.</w:t>
      </w:r>
    </w:p>
    <w:p w14:paraId="134C2F52"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5. The Fund shall maintain separate books and perform independent accounting.</w:t>
      </w:r>
    </w:p>
    <w:p w14:paraId="6CC00BD7" w14:textId="77777777" w:rsidR="00C204C3"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6. The Fund Manager and Fund Custodian shall each maintain complete accounting books and vouchers, perform daily accounting, and prepare the Fund's financial statements in accordance with relevant regulations.</w:t>
      </w:r>
    </w:p>
    <w:p w14:paraId="1E933A02"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7. The Fund Custodian shall reconcile the accounting and financial statement preparation with the Fund Manager monthly and provide written confirmation.</w:t>
      </w:r>
    </w:p>
    <w:p w14:paraId="11251ECB"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(II) Annual Audit</w:t>
      </w:r>
    </w:p>
    <w:p w14:paraId="581B10D6"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1. The Fund Manager shall engage an accounting firm qualified for securities-related business and independent of both the Fund Manager and Fund Custodian to audit the Fund’s annual financial statements.</w:t>
      </w:r>
    </w:p>
    <w:p w14:paraId="2161B956"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2. The accounting firm must obtain the prior consent of the Fund Manager before replacing the certified public accountant responsible for the audit.</w:t>
      </w:r>
    </w:p>
    <w:p w14:paraId="3D0FD8AE" w14:textId="77777777" w:rsidR="00C038A4"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3. If the Fund Manager has sufficient grounds to replace the accounting firm, it must notify the Fund Custodian. The replacement of the accounting firm must be announced in the designated media within two days.</w:t>
      </w:r>
      <w:bookmarkStart w:id="130" w:name="_Hlt4221115"/>
      <w:bookmarkEnd w:id="130"/>
    </w:p>
    <w:p w14:paraId="23F86D25" w14:textId="23DCF9FB" w:rsidR="0081561B" w:rsidRPr="000D3C71" w:rsidRDefault="00953439" w:rsidP="002C372A">
      <w:pPr>
        <w:pStyle w:val="Heading3"/>
        <w:rPr>
          <w:rFonts w:ascii="Arial" w:hAnsi="Arial" w:cs="Arial"/>
        </w:rPr>
      </w:pPr>
      <w:bookmarkStart w:id="131" w:name="_Toc340435600"/>
      <w:bookmarkStart w:id="132" w:name="_Toc340435532"/>
      <w:bookmarkStart w:id="133" w:name="_Toc329633101"/>
      <w:bookmarkStart w:id="134" w:name="_Toc127083931"/>
      <w:bookmarkStart w:id="135" w:name="_Toc211640956"/>
      <w:r w:rsidRPr="000D3C71">
        <w:rPr>
          <w:rFonts w:ascii="Arial" w:hAnsi="Arial" w:cs="Arial"/>
          <w:bCs/>
          <w:lang w:val="en"/>
        </w:rPr>
        <w:t xml:space="preserve">XVII. </w:t>
      </w:r>
      <w:r w:rsidR="00D465D7" w:rsidRPr="000D3C71">
        <w:rPr>
          <w:rFonts w:ascii="Arial" w:hAnsi="Arial" w:cs="Arial"/>
          <w:bCs/>
          <w:lang w:val="en"/>
        </w:rPr>
        <w:t>Fund Information Disclosure</w:t>
      </w:r>
      <w:bookmarkEnd w:id="131"/>
      <w:bookmarkEnd w:id="132"/>
      <w:bookmarkEnd w:id="133"/>
      <w:bookmarkEnd w:id="134"/>
      <w:bookmarkEnd w:id="135"/>
    </w:p>
    <w:p w14:paraId="0C7FE76E" w14:textId="77777777" w:rsidR="0012195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(I) All information disclosure for this Fund shall comply with the Fund Law, the Measures for Fund Operations, the Measures for Information Disclosure, the Fund Contract, and other relevant regulations.</w:t>
      </w:r>
    </w:p>
    <w:p w14:paraId="21DE2946" w14:textId="77777777" w:rsidR="0012195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(II) Information Disclosure Obligors</w:t>
      </w:r>
    </w:p>
    <w:p w14:paraId="62E232C0" w14:textId="77777777" w:rsidR="0012195D" w:rsidRPr="000D3C71" w:rsidRDefault="00953439" w:rsidP="00DF628C">
      <w:pPr>
        <w:pStyle w:val="affd"/>
        <w:spacing w:line="360" w:lineRule="auto"/>
        <w:ind w:firstLineChars="200" w:firstLine="420"/>
        <w:rPr>
          <w:rFonts w:ascii="Arial" w:hAnsi="Arial" w:cs="Arial"/>
          <w:bCs/>
          <w:szCs w:val="21"/>
        </w:rPr>
      </w:pPr>
      <w:r w:rsidRPr="000D3C71">
        <w:rPr>
          <w:rFonts w:ascii="Arial" w:hAnsi="Arial" w:cs="Arial"/>
          <w:szCs w:val="21"/>
          <w:lang w:val="en"/>
        </w:rPr>
        <w:t>The information disclosure obligors for this Fund include the Fund Manager, the Fund Custodian, the conveners of Fund Unitholders' meetings, and other natural persons, legal persons, and unincorporated organizations as prescribed by laws, administrative regulations, or the CSRC.</w:t>
      </w:r>
    </w:p>
    <w:p w14:paraId="1AC1E52A"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information disclosure obligors of this Fund shall, with the fundamental goal of protecting the interests of Fund Unitholders, disclose Fund information in accordance with laws, administrative regulations, and CSRC rules, and shall ensure that the disclosed information is true, accurate, complete, timely, concise, and accessible.</w:t>
      </w:r>
    </w:p>
    <w:p w14:paraId="1B8147F0"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information disclosure obligors of this Fund shall, within the timeframe stipulated by the CSRC, disclose the required Fund information through CSRC-designated media and ensure that investors can access or copy the publicly disclosed information at the times and in the manner agreed upon in the Fund Contract.</w:t>
      </w:r>
    </w:p>
    <w:p w14:paraId="49B18732"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(III) Publicly disclosed Fund information shall not contain any of the following:</w:t>
      </w:r>
    </w:p>
    <w:p w14:paraId="3A9C6E2B"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false records, misleading statements, or material omissions;</w:t>
      </w:r>
    </w:p>
    <w:p w14:paraId="1E3B3BC5"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predictions of securities investment performance;</w:t>
      </w:r>
    </w:p>
    <w:p w14:paraId="6170A75E"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guarantees of returns or assumption of losses in violation of regulations;</w:t>
      </w:r>
    </w:p>
    <w:p w14:paraId="39D1A0D5"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defamatory statements about other fund managers, fund custodians, or distributors;</w:t>
      </w:r>
    </w:p>
    <w:p w14:paraId="3A13E37F"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5. any congratulatory, complimentary, or recommendatory text from any natural person, legal person, or unincorporated organization;</w:t>
      </w:r>
    </w:p>
    <w:p w14:paraId="280B49FE"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6. any other conduct prohibited by the CSRC.</w:t>
      </w:r>
    </w:p>
    <w:p w14:paraId="54225A5B"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 xml:space="preserve">(IV) Publicly disclosed Fund information shall be in Chinese. If a foreign-language version is also provided, the information disclosure obligor shall ensure the content of the different versions is consistent. In case of any discrepancy between the versions, the Chinese version shall prevail. </w:t>
      </w:r>
    </w:p>
    <w:p w14:paraId="44F14108"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Arabic numerals shall be used for publicly disclosed Fund information. Unless otherwise specified, the monetary unit is RMB yuan.</w:t>
      </w:r>
    </w:p>
    <w:p w14:paraId="76589FED"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 Publicly Disclosed Fund Information</w:t>
      </w:r>
    </w:p>
    <w:p w14:paraId="40FC4700"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Publicly disclosed fund information includes:</w:t>
      </w:r>
    </w:p>
    <w:p w14:paraId="293CA73D"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Prospectus, Fund Contract, and Custody Agreement</w:t>
      </w:r>
    </w:p>
    <w:p w14:paraId="16E899A4"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The Fund Contract is a legal document that defines the rights and obligations of the Parties to the Fund Contract, specifies the rules and procedures for convening Fund Unitholders' meetings, and explains the Fund's product features and other matters involving the material interests of investors.</w:t>
      </w:r>
    </w:p>
    <w:p w14:paraId="745AF12E" w14:textId="77777777" w:rsidR="00CC6F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The Prospectus shall, to the maximum extent possible, disclose all matters that may affect investors’ decisions, and shall describe the arrangements for Fund subscription, creation, and redemption, Fund investments, product characteristics, risk disclosure, information disclosure, and Fund Unitholder services. Where material information in the Prospectus changes, the Fund Manager shall update the Prospectus within three business days and post it on the designated website. For other changes to its information, the Prospectus shall be updated at least once per year. Where the Fund Contract is terminated, the Fund Manager may cease updating the Prospectus.</w:t>
      </w:r>
      <w:bookmarkStart w:id="136" w:name="_Hlk15582167"/>
      <w:bookmarkEnd w:id="136"/>
    </w:p>
    <w:p w14:paraId="5FE37249"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The Custody Agreement is a legal document that sets out the rights and obligations of the Fund Custodian and Fund Manager in relation to the custody of Fund Property and supervision of Fund operations.</w:t>
      </w:r>
    </w:p>
    <w:p w14:paraId="33A44F09" w14:textId="77777777" w:rsidR="0012195D" w:rsidRPr="000D3C71" w:rsidRDefault="00953439">
      <w:pPr>
        <w:pStyle w:val="affd"/>
        <w:tabs>
          <w:tab w:val="left" w:pos="3852"/>
        </w:tabs>
        <w:spacing w:line="360" w:lineRule="auto"/>
        <w:ind w:firstLineChars="200" w:firstLine="420"/>
        <w:rPr>
          <w:rFonts w:ascii="Arial" w:hAnsi="Arial" w:cs="Arial"/>
          <w:bCs/>
          <w:szCs w:val="21"/>
        </w:rPr>
      </w:pPr>
      <w:r w:rsidRPr="000D3C71">
        <w:rPr>
          <w:rFonts w:ascii="Arial" w:hAnsi="Arial" w:cs="Arial"/>
          <w:szCs w:val="21"/>
          <w:lang w:val="en"/>
        </w:rPr>
        <w:t>2. Product Key Facts Statement</w:t>
      </w:r>
      <w:r w:rsidRPr="000D3C71">
        <w:rPr>
          <w:rFonts w:ascii="Arial" w:hAnsi="Arial" w:cs="Arial"/>
          <w:szCs w:val="21"/>
          <w:lang w:val="en"/>
        </w:rPr>
        <w:tab/>
      </w:r>
    </w:p>
    <w:p w14:paraId="4178D10E"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Manager shall publish the Product Key Facts Statement in accordance with the Measures for Information Disclosure. If material information therein changes, the Fund Manager must update it within 3 business days and make it available on the designated website and on the websites or at the business offices of distributors. For other changes to its information, the Fund Manager shall update it at least annually. Where the Fund Contract is terminated, the Fund Manager may cease updating the Product Key Facts Statement.</w:t>
      </w:r>
    </w:p>
    <w:p w14:paraId="52F8D62F"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requirements for preparing, disclosing, and updating the Product Key Facts Statement shall take effect on the date prescribed by the CSRC.</w:t>
      </w:r>
    </w:p>
    <w:p w14:paraId="2F3DA995"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Fund Unit Offering Announcement</w:t>
      </w:r>
    </w:p>
    <w:p w14:paraId="6B9F912B"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Manager shall prepare a Fund Unit Offering Announcement containing the specific details of the unit offering and publish it in the designated media on the same date the Prospectus is disclosed.</w:t>
      </w:r>
    </w:p>
    <w:p w14:paraId="639108DE"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Announcement of Fund Contract Effectiveness</w:t>
      </w:r>
    </w:p>
    <w:p w14:paraId="4E0E1C5E"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Manager shall, on the day following receipt of confirmation documents from the CSRC, publish the Fund Contract Effectiveness Announcement in the designated media.</w:t>
      </w:r>
    </w:p>
    <w:p w14:paraId="0E631552" w14:textId="77777777" w:rsidR="0012195D" w:rsidRPr="000D3C71" w:rsidRDefault="00953439">
      <w:pPr>
        <w:pStyle w:val="affd"/>
        <w:spacing w:line="360" w:lineRule="auto"/>
        <w:ind w:firstLineChars="200" w:firstLine="420"/>
        <w:rPr>
          <w:rFonts w:ascii="Arial" w:hAnsi="Arial" w:cs="Arial"/>
        </w:rPr>
      </w:pPr>
      <w:r w:rsidRPr="000D3C71">
        <w:rPr>
          <w:rFonts w:ascii="Arial" w:hAnsi="Arial" w:cs="Arial"/>
          <w:lang w:val="en"/>
        </w:rPr>
        <w:t>5. Fund Net Asset Value Information</w:t>
      </w:r>
    </w:p>
    <w:p w14:paraId="0A35B618"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 xml:space="preserve">The Fund Manager shall, no later than the next day following each dealing day, disclose the NAV per Unit and cumulative NAV per Unit for the dealing day through the designated website, distributors' websites, or business outlets. </w:t>
      </w:r>
    </w:p>
    <w:p w14:paraId="49977F40"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Manager shall also, no later than the next day following the last day of each semi-annual and annual period, disclose the NAV per Unit and cumulative NAV per Unit for that date on the designated website.</w:t>
      </w:r>
    </w:p>
    <w:p w14:paraId="53F98D7F"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6. PCF Announcement</w:t>
      </w:r>
    </w:p>
    <w:p w14:paraId="27B61369" w14:textId="77777777" w:rsidR="0012195D" w:rsidRPr="000D3C71" w:rsidRDefault="00953439">
      <w:pPr>
        <w:pStyle w:val="affd"/>
        <w:spacing w:line="360" w:lineRule="auto"/>
        <w:ind w:firstLineChars="200" w:firstLine="420"/>
        <w:rPr>
          <w:rFonts w:ascii="Arial" w:hAnsi="Arial" w:cs="Arial"/>
          <w:szCs w:val="21"/>
        </w:rPr>
      </w:pPr>
      <w:r w:rsidRPr="000D3C71">
        <w:rPr>
          <w:rFonts w:ascii="Arial" w:hAnsi="Arial" w:cs="Arial"/>
          <w:lang w:val="en"/>
        </w:rPr>
        <w:t>After the Fund begins processing creations and redemptions, the Fund Manager shall publish the PCF for each dealing day on a website or via other media.</w:t>
      </w:r>
    </w:p>
    <w:p w14:paraId="0F13678F"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lang w:val="en"/>
        </w:rPr>
        <w:t xml:space="preserve">7. Periodic Reports of the Fund, including Annual Reports, Semi-Annual Reports, and Quarterly Reports (including Quarterly Portfolio Holdings Reports) </w:t>
      </w:r>
    </w:p>
    <w:p w14:paraId="76788634"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 xml:space="preserve">The Fund Manager shall, within three months after each year-end, prepare the Annual Report, post it on the designated website, and publish an indicative announcement in a designated newspaper. The financial statements in the Fund Annual Report must be audited by an accounting firm qualified for securities and futures-related business. </w:t>
      </w:r>
    </w:p>
    <w:p w14:paraId="08C16E02"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 xml:space="preserve">The semi-annual report shall be prepared within two months after the end of the first half of the year, and the quarterly report shall be prepared within 15 business days after the end of each quarter. </w:t>
      </w:r>
    </w:p>
    <w:p w14:paraId="7FA5F29A"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 xml:space="preserve">Each report shall be posted on the designated website, and an indicative announcement shall be published in a designated newspaper. </w:t>
      </w:r>
    </w:p>
    <w:p w14:paraId="1C5900C6"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If the Fund Contract has been in effect for less than two months, the Fund Manager may elect not to prepare the quarterly report, semi-annual report, or annual report for the current period.</w:t>
      </w:r>
    </w:p>
    <w:p w14:paraId="1D7F651A" w14:textId="77777777" w:rsidR="0012195D"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 Fund Manager shall disclose the Fund’s portfolio asset composition and liquidity risk analysis in both the annual and semi-annual reports.</w:t>
      </w:r>
    </w:p>
    <w:p w14:paraId="3B5660A0" w14:textId="77777777" w:rsidR="0012195D"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If, during any reporting period, a single investor holds 20% or more of the Fund's total Units, the Fund Manager must, to protect the interests of other investors, disclose at a minimum the investor’s category, the number and percentage of units held at period-end, changes in holdings during the period, and the product’s specific risks under the section “Other Important Information Affecting Investor Decisions,” except in special circumstances recognized by the CSRC.</w:t>
      </w:r>
    </w:p>
    <w:p w14:paraId="7BC5AD38"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lang w:val="en"/>
        </w:rPr>
        <w:t>Where laws, regulations, or the CSRC provide otherwise, such provisions shall prevail.</w:t>
      </w:r>
    </w:p>
    <w:p w14:paraId="6993280A"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8. Ad-hoc Announcements</w:t>
      </w:r>
    </w:p>
    <w:p w14:paraId="4D73FAA6"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Upon the occurrence of a major event, the relevant information disclosure obligor shall prepare an ad-hoc announcement within two days and publish it in the designated newspaper and on the designated website.</w:t>
      </w:r>
    </w:p>
    <w:p w14:paraId="7563852C"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A “major event” refers to any of the following events that may have a material impact on the rights and interests of Fund Unitholders or the price of Fund Units:</w:t>
      </w:r>
    </w:p>
    <w:p w14:paraId="05F8E525"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the convening of a Fund Unitholders’ meeting and its resolutions;</w:t>
      </w:r>
    </w:p>
    <w:p w14:paraId="387B6F2B"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the delisting of the Fund, termination of the Fund Contract, or liquidation of the Fund;</w:t>
      </w:r>
    </w:p>
    <w:p w14:paraId="72649D55"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a change in the Fund’s mode of operation or a merger of the Fund;</w:t>
      </w:r>
    </w:p>
    <w:p w14:paraId="18F4C87B"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a change of Fund Manager, Fund Custodian, or Fund unit registration institution [Reason: This term is more specific than "registration institution" and distinct from the glossary's "Registration and Clearing Agency."], or the replacement of the accounting firm engaged by the Fund;</w:t>
      </w:r>
    </w:p>
    <w:p w14:paraId="01BBE13E"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(5) the delegation by the Fund Manager of services such as unit registration, accounting, or valuation, or the delegation by the Fund Custodian of services such as accounting, valuation, or review, to a fund service institution;</w:t>
      </w:r>
    </w:p>
    <w:p w14:paraId="1FBCB0BC"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(6) a change in the legal name or address of the Fund Manager or Fund Custodian;</w:t>
      </w:r>
    </w:p>
    <w:p w14:paraId="24D4F265"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(7) a change in a shareholder holding more than 5% of the fund management company’s equity, or a change of its actual controller;</w:t>
      </w:r>
    </w:p>
    <w:p w14:paraId="1863CBDC"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(8) a change in the senior management personnel or portfolio manager(s) of the Fund Manager, or in the head of the Fund Custodian’s dedicated fund custody department;</w:t>
      </w:r>
    </w:p>
    <w:p w14:paraId="47906F1E"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(9) a change of over 50% of the directors of the Fund Manager within the last 12 months, or a change of over 30% of the key business personnel of the Fund Manager or the Custodian’s dedicated fund custody department within the last 12 months;</w:t>
      </w:r>
    </w:p>
    <w:p w14:paraId="0B03B495"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(10) litigation or arbitration involving Fund Property, fund management business, or fund custody business;</w:t>
      </w:r>
    </w:p>
    <w:p w14:paraId="28337413"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(11) major administrative or criminal penalties imposed on the Fund Manager, its senior management, or portfolio manager(s) for conduct related to fund management business, or on the Fund Custodian or the head of its dedicated fund custody department for conduct related to fund custody business;</w:t>
      </w:r>
    </w:p>
    <w:p w14:paraId="58F8BC5E"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(12) the Fund Manager's use of Fund Property to trade securities issued or underwritten by the Fund Manager, Fund Custodian, their controlling shareholders, actual controllers, or other affiliated parties with a material interest, or engagement in other major related-party transactions, except as otherwise permitted by the CSRC;</w:t>
      </w:r>
    </w:p>
    <w:p w14:paraId="595F3637"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(13) matters relating to fund income distribution;</w:t>
      </w:r>
    </w:p>
    <w:p w14:paraId="34AFD48B"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(14) changes in the accrual standards, methods, or rates of fees such as the management fee, custody fee, creation fee, or redemption fee;</w:t>
      </w:r>
    </w:p>
    <w:p w14:paraId="587995F0"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(15) a valuation error in the NAV per Unit of 0.5% or greater;</w:t>
      </w:r>
    </w:p>
    <w:p w14:paraId="4B79EFEE"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(16) the commencement of processing for creations and redemptions;</w:t>
      </w:r>
    </w:p>
    <w:p w14:paraId="1FF64BD7"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(17) the suspension or resumption of accepting applications for creation and redemption;</w:t>
      </w:r>
    </w:p>
    <w:p w14:paraId="46C82A6E" w14:textId="77777777" w:rsidR="0012195D" w:rsidRPr="000D3C71" w:rsidRDefault="00953439">
      <w:pPr>
        <w:pStyle w:val="affd"/>
        <w:spacing w:line="360" w:lineRule="auto"/>
        <w:ind w:firstLineChars="200" w:firstLine="420"/>
        <w:rPr>
          <w:rFonts w:ascii="Arial" w:hAnsi="Arial" w:cs="Arial"/>
        </w:rPr>
      </w:pPr>
      <w:r w:rsidRPr="000D3C71">
        <w:rPr>
          <w:rFonts w:ascii="Arial" w:hAnsi="Arial" w:cs="Arial"/>
          <w:lang w:val="en"/>
        </w:rPr>
        <w:t>(18) a change in the Underlying Index;</w:t>
      </w:r>
    </w:p>
    <w:p w14:paraId="0810A810" w14:textId="77777777" w:rsidR="0012195D" w:rsidRPr="000D3C71" w:rsidRDefault="00953439" w:rsidP="0012195D">
      <w:pPr>
        <w:pStyle w:val="affd"/>
        <w:autoSpaceDE w:val="0"/>
        <w:autoSpaceDN w:val="0"/>
        <w:adjustRightInd w:val="0"/>
        <w:spacing w:line="360" w:lineRule="auto"/>
        <w:ind w:firstLine="420"/>
        <w:rPr>
          <w:rFonts w:ascii="Arial" w:hAnsi="Arial" w:cs="Arial"/>
        </w:rPr>
      </w:pPr>
      <w:r w:rsidRPr="000D3C71">
        <w:rPr>
          <w:rFonts w:ascii="Arial" w:hAnsi="Arial" w:cs="Arial"/>
          <w:lang w:val="en"/>
        </w:rPr>
        <w:t>(19) the suspension or resumption of the Fund’s listing;</w:t>
      </w:r>
    </w:p>
    <w:p w14:paraId="020C2916" w14:textId="77777777" w:rsidR="0012195D" w:rsidRPr="000D3C71" w:rsidRDefault="00953439" w:rsidP="00503FB4">
      <w:pPr>
        <w:pStyle w:val="affd"/>
        <w:spacing w:line="360" w:lineRule="auto"/>
        <w:ind w:firstLineChars="200" w:firstLine="420"/>
        <w:rPr>
          <w:rFonts w:ascii="Arial" w:hAnsi="Arial" w:cs="Arial"/>
        </w:rPr>
      </w:pPr>
      <w:r w:rsidRPr="000D3C71">
        <w:rPr>
          <w:rFonts w:ascii="Arial" w:hAnsi="Arial" w:cs="Arial"/>
          <w:lang w:val="en"/>
        </w:rPr>
        <w:t>(20) the conversion of Fund Units and changes to their registration;</w:t>
      </w:r>
    </w:p>
    <w:p w14:paraId="2790D81B" w14:textId="77777777" w:rsidR="0012195D"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(21) the occurrence of a major event involving adjustments to Fund creation and redemption matters or potentially affecting investor redemptions;</w:t>
      </w:r>
    </w:p>
    <w:p w14:paraId="7ABF569A" w14:textId="77777777" w:rsidR="0012195D" w:rsidRPr="000D3C71" w:rsidRDefault="00953439" w:rsidP="00DF628C">
      <w:pPr>
        <w:pStyle w:val="affd"/>
        <w:spacing w:line="360" w:lineRule="auto"/>
        <w:ind w:firstLineChars="200" w:firstLine="420"/>
        <w:rPr>
          <w:rFonts w:ascii="Arial" w:hAnsi="Arial" w:cs="Arial"/>
          <w:bCs/>
          <w:szCs w:val="21"/>
        </w:rPr>
      </w:pPr>
      <w:r w:rsidRPr="000D3C71">
        <w:rPr>
          <w:rFonts w:ascii="Arial" w:hAnsi="Arial" w:cs="Arial"/>
          <w:szCs w:val="21"/>
          <w:lang w:val="en"/>
        </w:rPr>
        <w:t>(22) other matters that the information disclosure obligor deems may have a material impact on the rights and interests of Fund Unitholders or the price of Fund Units, or other matters stipulated by the CSRC.</w:t>
      </w:r>
    </w:p>
    <w:p w14:paraId="196A5E24"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9. Clarification Announcement</w:t>
      </w:r>
    </w:p>
    <w:p w14:paraId="20AA38DD"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During the term of the Fund Contract, if any news appearing in public media or circulating in the market could have a misleading effect on the price of Fund Units, cause significant volatility, or harm the interests of Fund Unitholders, the relevant information disclosure obligor, upon becoming aware of it, shall immediately issue a public clarification and report the situation to the CSRC and the stock exchange where the Fund is listed.</w:t>
      </w:r>
    </w:p>
    <w:p w14:paraId="3D542916"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10. Liquidation Report</w:t>
      </w:r>
    </w:p>
    <w:p w14:paraId="60B910AD"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Property Liquidation Committee shall post the Liquidation Report on the designated website and publish an indicative announcement for the report in a designated newspaper.</w:t>
      </w:r>
    </w:p>
    <w:p w14:paraId="36C194F7"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11. Resolutions of Fund Unitholders’ Meetings</w:t>
      </w:r>
    </w:p>
    <w:p w14:paraId="3B7C9296"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Matters decided by a Fund Unitholders' meeting shall be submitted for approval or filing to the State Council’s securities regulatory authority in accordance with the law, and shall be publicly announced.</w:t>
      </w:r>
    </w:p>
    <w:p w14:paraId="35104994"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12. Other information as required by the CSRC.</w:t>
      </w:r>
    </w:p>
    <w:p w14:paraId="4CE37860"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(VI) Management of Information Disclosure Affairs</w:t>
      </w:r>
    </w:p>
    <w:p w14:paraId="4D8DCAE6"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Manager and Fund Custodian shall establish sound information disclosure management systems and designate a dedicated department and senior management personnel to be responsible for managing information disclosure affairs.</w:t>
      </w:r>
    </w:p>
    <w:p w14:paraId="53ADB318"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When publicly disclosing Fund information, the information disclosure obligors shall comply with the provisions of CSRC regulations, such as the content and format guidelines for fund information disclosure, as well as the self-regulatory rules of the stock exchange.</w:t>
      </w:r>
    </w:p>
    <w:p w14:paraId="49BC7BE1"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Custodian shall, in accordance with relevant laws and regulations, CSRC rules, and the provisions of the Fund Contract, review and examine the relevant Fund information publicly disclosed by the Fund Manager—including the NAV of the Fund, NAV per Unit, creation and redemption prices, periodic reports, updated Prospectus, Product Key Facts Statement, and liquidation reports—and provide written or electronic confirmation to the Fund Manager.</w:t>
      </w:r>
    </w:p>
    <w:p w14:paraId="5EE9509C"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Manager and Fund Custodian shall select a newspaper from the designated newspapers for information disclosure. This Fund is only required to select one newspaper.</w:t>
      </w:r>
    </w:p>
    <w:p w14:paraId="37C663C3"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To enhance investor protection and improve the quality of information disclosure services, the Fund Manager shall, from the date stipulated by the CSRC, timely provide investors with information that has a material impact on their investment decisions, in accordance with the Measures for Information Disclosure and other relevant laws and regulations.</w:t>
      </w:r>
    </w:p>
    <w:p w14:paraId="50EE09AE"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Professional firms that issue audit reports or legal opinions for publicly disclosed Fund information shall create working papers and preserve the relevant files for at least 10 years after the Fund Contract Termination Date.</w:t>
      </w:r>
    </w:p>
    <w:p w14:paraId="56F629E2"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(VII) Suspension or Delay of Information Disclosure</w:t>
      </w:r>
    </w:p>
    <w:p w14:paraId="3CB19C7E"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When the securities exchange relevant to the Fund's investments is closed for statutory holidays or suspended for other reasons.</w:t>
      </w:r>
    </w:p>
    <w:p w14:paraId="04CD5C01"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When force majeure or other circumstances prevent the Fund Manager or Fund Custodian from accurately assessing the value of Fund assets.</w:t>
      </w:r>
    </w:p>
    <w:p w14:paraId="554F37C0"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When a significant change occurs in the valuation of a substantial portion of the Fund's investment portfolio, and the Fund Manager has decided to delay valuation to protect the interests of Fund Unitholders.</w:t>
      </w:r>
    </w:p>
    <w:p w14:paraId="5B1AB317"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When any situation arises that the Fund Manager deems an emergency, which would prevent the Fund Manager from selling or valuing the Fund's assets.</w:t>
      </w:r>
    </w:p>
    <w:p w14:paraId="2A555A3D"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5. Other circumstances stipulated by laws and regulations or recognized by the CSRC or the Fund Contract.</w:t>
      </w:r>
    </w:p>
    <w:p w14:paraId="2773AAAE"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(VIII) Storage and Access to Information Disclosure Documents</w:t>
      </w:r>
    </w:p>
    <w:p w14:paraId="1B67AADB"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lang w:val="en"/>
        </w:rPr>
        <w:t>After legally required information is published, the Fund Manager and Fund Custodian shall make the information available at their corporate residences and at the stock exchange where the Fund is listed, for public inspection and copying, in accordance with relevant laws and regulations.</w:t>
      </w:r>
    </w:p>
    <w:p w14:paraId="73125EA2" w14:textId="77777777" w:rsidR="0012195D"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(IX) If laws, regulations, or regulatory authorities provide otherwise regarding information disclosure, such provisions shall prevail.</w:t>
      </w:r>
    </w:p>
    <w:p w14:paraId="22C56D35" w14:textId="6622635A" w:rsidR="00E55519" w:rsidRPr="000D3C71" w:rsidRDefault="00953439" w:rsidP="002C372A">
      <w:pPr>
        <w:pStyle w:val="Heading3"/>
        <w:rPr>
          <w:rFonts w:ascii="Arial" w:hAnsi="Arial" w:cs="Arial"/>
        </w:rPr>
      </w:pPr>
      <w:bookmarkStart w:id="137" w:name="_Toc340435602"/>
      <w:bookmarkStart w:id="138" w:name="_Toc340435534"/>
      <w:bookmarkStart w:id="139" w:name="_Toc211640957"/>
      <w:r w:rsidRPr="000D3C71">
        <w:rPr>
          <w:rFonts w:ascii="Arial" w:hAnsi="Arial" w:cs="Arial"/>
          <w:bCs/>
          <w:lang w:val="en"/>
        </w:rPr>
        <w:t xml:space="preserve">XVIII. </w:t>
      </w:r>
      <w:r w:rsidR="00EC6020" w:rsidRPr="000D3C71">
        <w:rPr>
          <w:rFonts w:ascii="Arial" w:hAnsi="Arial" w:cs="Arial"/>
          <w:bCs/>
          <w:lang w:val="en"/>
        </w:rPr>
        <w:t>Risk Disclosure</w:t>
      </w:r>
      <w:bookmarkEnd w:id="137"/>
      <w:bookmarkEnd w:id="138"/>
      <w:bookmarkEnd w:id="139"/>
    </w:p>
    <w:p w14:paraId="0AFB4394" w14:textId="77777777" w:rsidR="00E55519"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(I) Principal Risks of Investing in the Fund</w:t>
      </w:r>
    </w:p>
    <w:p w14:paraId="645C3684" w14:textId="77777777" w:rsidR="00E55519" w:rsidRPr="000D3C71" w:rsidRDefault="00953439" w:rsidP="00503FB4">
      <w:pPr>
        <w:pStyle w:val="affd"/>
        <w:spacing w:line="360" w:lineRule="auto"/>
        <w:ind w:firstLineChars="200" w:firstLine="420"/>
        <w:rPr>
          <w:rFonts w:ascii="Arial" w:hAnsi="Arial" w:cs="Arial"/>
          <w:bCs/>
          <w:szCs w:val="21"/>
        </w:rPr>
      </w:pPr>
      <w:r w:rsidRPr="000D3C71">
        <w:rPr>
          <w:rFonts w:ascii="Arial" w:hAnsi="Arial" w:cs="Arial"/>
          <w:szCs w:val="21"/>
          <w:lang w:val="en"/>
        </w:rPr>
        <w:t>1. Risk of Deviation Between Underlying Index Return and Overall Market Return</w:t>
      </w:r>
    </w:p>
    <w:p w14:paraId="40A4572C" w14:textId="77777777" w:rsidR="00E55519" w:rsidRPr="000D3C71" w:rsidRDefault="00953439" w:rsidP="00DF628C">
      <w:pPr>
        <w:pStyle w:val="affd"/>
        <w:spacing w:line="360" w:lineRule="auto"/>
        <w:ind w:firstLineChars="200" w:firstLine="420"/>
        <w:rPr>
          <w:rFonts w:ascii="Arial" w:hAnsi="Arial" w:cs="Arial"/>
          <w:bCs/>
          <w:szCs w:val="21"/>
        </w:rPr>
      </w:pPr>
      <w:r w:rsidRPr="000D3C71">
        <w:rPr>
          <w:rFonts w:ascii="Arial" w:hAnsi="Arial" w:cs="Arial"/>
          <w:szCs w:val="21"/>
          <w:lang w:val="en"/>
        </w:rPr>
        <w:t>The Underlying Index does not fully represent the entire stock market. Consequently, the average rate of return of its constituent securities may deviate from the average rate of return of the overall stock market.</w:t>
      </w:r>
    </w:p>
    <w:p w14:paraId="7BB0F811"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Risk of Underlying Index Fluctuation</w:t>
      </w:r>
    </w:p>
    <w:p w14:paraId="4F299026"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prices of the Underlying Index’s constituent securities may fluctuate due to various factors, including political and economic conditions, the operating performance of listed companies, investor sentiment, and trading systems. This can cause the index to fluctuate, which in turn may alter the Fund's level of return and create risk.</w:t>
      </w:r>
    </w:p>
    <w:p w14:paraId="088BD1E8"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Risk of Deviation Between Fund Portfolio Return and Underlying Index Return</w:t>
      </w:r>
    </w:p>
    <w:p w14:paraId="77006B6C"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following factors may cause the Fund's portfolio return to deviate from that of the Underlying Index or may prevent the Fund from achieving its stated tracking error target:</w:t>
      </w:r>
    </w:p>
    <w:p w14:paraId="66260CA3"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Adjustments to the Underlying Index's constituent securities or changes in its compilation methodology may cause tracking deviation and tracking error during the Fund's corresponding portfolio adjustments.</w:t>
      </w:r>
    </w:p>
    <w:p w14:paraId="5CBFB389"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Changes in the weighting of constituent securities within the Underlying Index due to corporate actions such as rights issues or secondary offerings may cause tracking deviation and tracking error during the Fund's corresponding portfolio adjustments.</w:t>
      </w:r>
    </w:p>
    <w:p w14:paraId="4157854E"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Cash dividends paid by constituent securities and income from IPO allocations will cause the Fund's rate of return to exceed that of the Underlying Index, resulting in positive tracking deviation.</w:t>
      </w:r>
    </w:p>
    <w:p w14:paraId="55A1E8D0"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The Fund's inability to adjust its portfolio in a timely manner or the incurrence of impact costs due to the trading suspension, delisting, or poor liquidity of constituent securities may cause tracking deviation and tracking error.</w:t>
      </w:r>
    </w:p>
    <w:p w14:paraId="3F6D477C"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(5) Securities transaction costs incurred during the investment process, as well as the Fund's management and custody fees, will cause tracking deviation and tracking error between the Fund's portfolio and the Underlying Index.</w:t>
      </w:r>
    </w:p>
    <w:p w14:paraId="5E5C244E"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(6) During the Fund's index-tracking investment process, the Fund Manager's capabilities—such as the quality of index tracking, technical methods, and the timing of buy and sell decisions—will affect the Fund's returns and, consequently, the degree to which the Fund tracks the Underlying Index.</w:t>
      </w:r>
    </w:p>
    <w:p w14:paraId="0FE9B063"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(7) Deviations may arise from other factors. For example, due to minimum purchase lot size restrictions, the holding percentage of an individual stock in the Fund's portfolio may not be identical to that stock's weight in the Underlying Index. Other factors include higher index-tracking costs due to a lack of short-selling, hedging, or other tools; cash flows resulting from Fund creations and redemptions; and errors in index compilation by the index provider. These can all lead to tracking deviation and tracking error.</w:t>
      </w:r>
    </w:p>
    <w:p w14:paraId="13207699" w14:textId="77777777" w:rsidR="00D87178" w:rsidRPr="000D3C71" w:rsidRDefault="00953439">
      <w:pPr>
        <w:pStyle w:val="afff5"/>
        <w:autoSpaceDE w:val="0"/>
        <w:autoSpaceDN w:val="0"/>
        <w:adjustRightInd w:val="0"/>
        <w:spacing w:line="360" w:lineRule="auto"/>
        <w:ind w:firstLineChars="200" w:firstLine="420"/>
        <w:jc w:val="left"/>
        <w:rPr>
          <w:rFonts w:ascii="Arial" w:hAnsi="Arial" w:cs="Arial"/>
          <w:bCs/>
          <w:szCs w:val="21"/>
        </w:rPr>
      </w:pPr>
      <w:r w:rsidRPr="000D3C71">
        <w:rPr>
          <w:rFonts w:ascii="Arial" w:hAnsi="Arial" w:cs="Arial"/>
          <w:szCs w:val="21"/>
          <w:lang w:val="en"/>
        </w:rPr>
        <w:t>4. Risk of Index Provider Discontinuing Service</w:t>
      </w:r>
    </w:p>
    <w:p w14:paraId="5F727AA3" w14:textId="77777777" w:rsidR="00D87178"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provider of the Fund's Underlying Index may discontinue its service for that index, which could adversely affect the Fund's investment operations. Additionally, as stipulated in the Fund Contract, if the index provider changes or ceases to publish the index, the Fund may change its Underlying Index, thereby facing risks associated with such a change.</w:t>
      </w:r>
    </w:p>
    <w:p w14:paraId="45D79BC0"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5. Risk of a Change in the Underlying Index</w:t>
      </w:r>
    </w:p>
    <w:p w14:paraId="7B7EFB19"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Although unlikely, if circumstances require a change in the Underlying Index as stipulated in the Fund Contract, the Fund will do so. The investment policy based on the original index will be altered, the portfolio will be adjusted accordingly, and the Fund's risk-return profile will be aligned with the new index. Investors must bear the risks and costs associated with this adjustment.</w:t>
      </w:r>
    </w:p>
    <w:p w14:paraId="5173F2EE" w14:textId="77777777" w:rsidR="00D87178" w:rsidRPr="000D3C71" w:rsidRDefault="00953439">
      <w:pPr>
        <w:pStyle w:val="afff5"/>
        <w:autoSpaceDE w:val="0"/>
        <w:autoSpaceDN w:val="0"/>
        <w:adjustRightInd w:val="0"/>
        <w:spacing w:line="360" w:lineRule="auto"/>
        <w:ind w:firstLineChars="200" w:firstLine="420"/>
        <w:rPr>
          <w:rFonts w:ascii="Arial" w:hAnsi="Arial" w:cs="Arial"/>
          <w:bCs/>
          <w:szCs w:val="21"/>
        </w:rPr>
      </w:pPr>
      <w:r w:rsidRPr="000D3C71">
        <w:rPr>
          <w:rFonts w:ascii="Arial" w:hAnsi="Arial" w:cs="Arial"/>
          <w:szCs w:val="21"/>
          <w:lang w:val="en"/>
        </w:rPr>
        <w:t>6. Risk of Suspension or Default of Constituent Securities</w:t>
      </w:r>
    </w:p>
    <w:p w14:paraId="683B703F" w14:textId="77777777" w:rsidR="003F50B1"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Constituent securities of the Fund's Underlying Index may be suspended from trading or may default, rendering a portion of the Fund's assets illiquid or subject to significant discounts, which poses a risk of impacting the Fund’s NAV. Furthermore, in accordance with relevant regulations, if a constituent security experiences a significant negative event and faces delisting or default risk, and the index provider has not yet made an adjustment, the Fund Manager, after following internal decision-making procedures and based on the principle of prioritizing unitholders' interests, may adjust its holdings of the relevant security. This could lead to tracking deviation and a failure to meet the stated tracking error target.</w:t>
      </w:r>
    </w:p>
    <w:p w14:paraId="4B4E0E48"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7. Risk of Premium/Discount in Secondary Market Trading Price</w:t>
      </w:r>
    </w:p>
    <w:p w14:paraId="0C86C17E"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Although the Fund will utilize an effective arbitrage mechanism to control the premium or discount of its secondary market trading price within a certain range, the trading price of Fund Units on the stock exchange is influenced by numerous factors and may differ from the NAV per Unit, creating a risk of price premiums or discounts.</w:t>
      </w:r>
    </w:p>
    <w:p w14:paraId="28B9B061"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8. Risk of Relying on IOPV for Decisions and of IOPV Calculation Errors</w:t>
      </w:r>
    </w:p>
    <w:p w14:paraId="76B03627"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China Securities Index Co., Ltd. calculates and disseminates an indicative optimized portfolio value (IOPV) for Fund Units after the market opens, based on the PCF and real-time transaction data of the securities in the portfolio, for investors' reference when trading, creating, or redeeming Fund Units. The IOPV may differ from the real-time NAV per Unit, and calculation errors in the IOPV may occur. Investors who rely on the IOPV for investment decisions may incur losses, which they must bear themselves.</w:t>
      </w:r>
    </w:p>
    <w:p w14:paraId="611A69DB"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9. Delisting Risk</w:t>
      </w:r>
    </w:p>
    <w:p w14:paraId="4D5BE1C8"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This is the risk that Fund Units may cease secondary-market trading if the Fund is delisted for failing to meet the stock exchange's listing requirements or if a Fund Unitholder meeting resolves to terminate the listing early.</w:t>
      </w:r>
    </w:p>
    <w:p w14:paraId="58F18CB9"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10. Risk of Creation Failure</w:t>
      </w:r>
    </w:p>
    <w:p w14:paraId="45B07198"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Fund's PCF may only permit cash-in-lieu for a portion of the constituent securities and may set a cash-in-lieu ratio cap. Consequently, when attempting to create Units, investors face the risk of creation failure if they are unable to purchase a sufficient amount of the required constituent securities due to factors such as trading halts or price limits on individual securities.</w:t>
      </w:r>
    </w:p>
    <w:p w14:paraId="1D02ACA3"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11. Risk of Redemption Failure</w:t>
      </w:r>
    </w:p>
    <w:p w14:paraId="0AA5A995" w14:textId="77777777" w:rsidR="00870A1C"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 xml:space="preserve">A redemption may fail if the Fund's portfolio lacks sufficient eligible redemption consideration. Furthermore, the Fund Manager may adjust the creation unit size based on factors such as changes in the market capitalization of constituent securities. </w:t>
      </w:r>
    </w:p>
    <w:p w14:paraId="10676DBB"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As a result, Fund Units created and held based on a previous creation unit size may not be fully redeemable under the new creation unit size, forcing the investor to sell some or all of their units on the secondary market.</w:t>
      </w:r>
    </w:p>
    <w:p w14:paraId="6AE9660A"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12. Liquidation Risk of Redemption Consideration</w:t>
      </w:r>
    </w:p>
    <w:p w14:paraId="16FC75F0"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redemption consideration for the Fund consists mainly of a basket of securities. During the process of liquidating these securities, the value realized by the investor may differ from the value of the redemption consideration at the time of redemption due to market fluctuations or the poor liquidity of certain constituent securities.</w:t>
      </w:r>
    </w:p>
    <w:p w14:paraId="6E4525AB"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13. Risk of the Adjustment Cash-in-Lieu Method</w:t>
      </w:r>
    </w:p>
    <w:p w14:paraId="6DC2F4C6"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has introduced an "adjustment cash-in-lieu" method for creations and redemptions. This method differs from other existing cash-in-lieu methods and may introduce price uncertainty for creating and redeeming investors, which could indirectly affect the premium/discount level of the Fund's secondary market price. In extreme cases, if the weight of securities using the "adjustment cash-in-lieu" method increases, the uncertainty it introduces could lead to a relatively high premium or discount in the Fund's secondary market price.</w:t>
      </w:r>
    </w:p>
    <w:p w14:paraId="6B35403F"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Manager makes no commitment or guarantee regarding the execution efficiency of the "time-priority, real-time submission" principle. The calculation of the cash-in-lieu adjustment amount will be based on actual transaction prices and the terms of the Prospectus. If the Fund Manager is unable to process the "adjustment cash-in-lieu" securities according to this principle due to technical system failures, communication link issues, or other reasons, investors' interests may be affected.</w:t>
      </w:r>
    </w:p>
    <w:p w14:paraId="74EE9583" w14:textId="77777777" w:rsidR="0022743A" w:rsidRPr="000D3C71" w:rsidRDefault="00953439">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szCs w:val="21"/>
          <w:lang w:val="en"/>
        </w:rPr>
        <w:t>14. Risk of NAV per Unit Falling Below Par Value After Income Distribution</w:t>
      </w:r>
    </w:p>
    <w:p w14:paraId="7FEAC0B1" w14:textId="77777777" w:rsidR="0022743A"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principle of this Fund's income distribution is to bring the Fund's cumulative return as close as possible to that of the Underlying Index for the same period after the distribution. Given the nature and characteristics of this Fund, income distribution is not predicated on covering prior losses. Consequently, there is a risk that the NAV per Unit may fall below its par value after a distribution.</w:t>
      </w:r>
    </w:p>
    <w:p w14:paraId="6BEF3B1D" w14:textId="77777777" w:rsidR="00474F3E"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15. Stock Index Futures Investment Risk</w:t>
      </w:r>
    </w:p>
    <w:p w14:paraId="53BBA844" w14:textId="77777777" w:rsidR="00474F3E"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may invest in stock index futures. As a financial derivative, stock index futures carry specific risks, including:</w:t>
      </w:r>
    </w:p>
    <w:p w14:paraId="613325B9" w14:textId="77777777" w:rsidR="00474F3E"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(1) Market Risk: The risk arising from fluctuations in stock index futures prices.</w:t>
      </w:r>
    </w:p>
    <w:p w14:paraId="023B0F11" w14:textId="77777777" w:rsidR="00474F3E"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Liquidity Risk: The risk that a futures contract cannot be liquidated in a timely manner.</w:t>
      </w:r>
    </w:p>
    <w:p w14:paraId="2EBD9F06" w14:textId="77777777" w:rsidR="00474F3E"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Basis Risk: The risk arising from fluctuations in the price difference between a futures contract and the underlying index, as well as the risk of price spreads between different futures contracts.</w:t>
      </w:r>
    </w:p>
    <w:p w14:paraId="3B8A643A" w14:textId="77777777" w:rsidR="00474F3E"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Margin Risk: The risk of being unable to raise sufficient funds to meet the margin requirements for establishing or maintaining a futures position.</w:t>
      </w:r>
    </w:p>
    <w:p w14:paraId="4733D4A5" w14:textId="77777777" w:rsidR="00474F3E"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(5) Credit Risk: The risk of loss due to a default by the futures brokerage firm.</w:t>
      </w:r>
    </w:p>
    <w:p w14:paraId="2A719409" w14:textId="77777777" w:rsidR="00474F3E"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(6) Operational Risk: The risk of loss due to imperfect internal procedures, employee errors or omissions, or system failures.</w:t>
      </w:r>
    </w:p>
    <w:p w14:paraId="6248EBCB"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16. Third-Party Service Risk</w:t>
      </w:r>
    </w:p>
    <w:p w14:paraId="228AB260"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Several of the Fund's services are delegated to third-party institutions, which introduces the following risks:</w:t>
      </w:r>
    </w:p>
    <w:p w14:paraId="3DE9C85E"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The risk that services provided by authorized participants may be restricted, suspended, or terminated for various reasons, thereby affecting creation and redemption services for investors.</w:t>
      </w:r>
    </w:p>
    <w:p w14:paraId="4CB8A087"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The Registration and Clearing Agency may adjust its settlement system, for example, by implementing a Delivery Versus Payment (DVP) system. This would change the settlement methods for investors' Fund Units, portfolio securities, and cash, and such a system adjustment could create a risk of misunderstanding for investors. Similar risks may also arise from stock exchanges and other agents.</w:t>
      </w:r>
    </w:p>
    <w:p w14:paraId="61F347D6"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The risk that the stock exchange, Registration and Clearing Agency, Fund Custodian, authorized participants, or other agents may default, causing losses to the Fund or its investors.</w:t>
      </w:r>
    </w:p>
    <w:p w14:paraId="4D17D30E" w14:textId="77777777" w:rsidR="00C30187"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17. Depositary Receipt Investment Risk</w:t>
      </w:r>
    </w:p>
    <w:p w14:paraId="260892A9" w14:textId="77777777" w:rsidR="00C30187"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may invest in depositary receipts. The Fund’s NAV may be affected by price fluctuations of the underlying overseas securities of those depositary receipts, and the risks associated with the underlying overseas securities may directly or indirectly become risks borne by the Fund.</w:t>
      </w:r>
    </w:p>
    <w:p w14:paraId="31EF1751"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18. Management and Operational Risk</w:t>
      </w:r>
    </w:p>
    <w:p w14:paraId="3C5E4190"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Factors such as the business development status, staffing, management level, and internal controls of the Fund Manager, Fund Custodian, and other relevant parties can affect the Fund's level of return. Risks that could harm investor interests may arise from rapid business expansion, excessive industry competition, or over-reliance on key personnel.</w:t>
      </w:r>
    </w:p>
    <w:p w14:paraId="07060191"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During various business processes, relevant parties may introduce risk due to deficiencies in internal controls or human factors that lead to operational errors or violations of procedures. Examples include errors in PCF compilation, unauthorized trading, fraudulent activities, and trade errors.</w:t>
      </w:r>
    </w:p>
    <w:p w14:paraId="0C76B966"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In accordance with business rules related to front-end risk control for securities trading funds, CSDC and the exchange impose front-end limit controls on the securities trading funds of trading participants. The execution, adjustment, or suspension of these controls, or any abnormalities in them, may affect the normal course of trading or impact investors' interests.</w:t>
      </w:r>
    </w:p>
    <w:p w14:paraId="41B3277E"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19. Technology Risk</w:t>
      </w:r>
    </w:p>
    <w:p w14:paraId="10FED169"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During the Fund's investment, trading, service, and back-office operations, investors' interests may be affected by failures or errors in technology systems. Such technology risks may originate from the Fund Manager, Fund Custodian, stock exchanges, the Registration and Clearing Agency, and distributors.</w:t>
      </w:r>
    </w:p>
    <w:p w14:paraId="1AB46B4F"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20. Policy Change Risk</w:t>
      </w:r>
    </w:p>
    <w:p w14:paraId="16857817"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This is the risk that the interests of the Fund or its investors may be affected by changes in factors beyond the Fund Manager's control, such as amendments to relevant laws, regulations, or regulatory policies. Examples include the risk of NAV fluctuations caused by adjustments to the Fund's valuation methods following changes in regulatory valuation policies, or the risk of NAV fluctuations arising from the Fund Manager's portfolio adjustments due to changes in regulations affecting the Fund's investment scope.</w:t>
      </w:r>
    </w:p>
    <w:p w14:paraId="195CBB49"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21. Liquidity Risk</w:t>
      </w:r>
    </w:p>
    <w:p w14:paraId="1589AA73"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In situations of insufficient market or individual security liquidity, the Fund Manager may be unable to adjust the Fund's investment portfolio quickly and at a reasonable cost, which could adversely affect the Fund's returns.</w:t>
      </w:r>
    </w:p>
    <w:p w14:paraId="5D5CC9D4"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Fund Creation and Redemption Arrangements</w:t>
      </w:r>
    </w:p>
    <w:p w14:paraId="4BB7B1DE"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For details, investors should refer to Section VII, "Creation and Redemption of Fund Units" of the Fund Contract and Section IX, "Creation and Redemption of Fund Units" of this Prospectus for a detailed understanding of this Fund's creation and redemption arrangements.</w:t>
      </w:r>
    </w:p>
    <w:p w14:paraId="612F620B"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Liquidity Risk Assessment of Proposed Markets, Industries, and Assets</w:t>
      </w:r>
    </w:p>
    <w:p w14:paraId="71D13C60"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primarily invests in the Underlying Index's constituent securities and alternate constituent securities. The proportion of these investments will not be less than 90% of the Fund's NAV. To better achieve its investment objective, the Fund may also invest in non-constituent securities, bonds, stock index futures, warrants, and other instruments. While these asset classes generally have good liquidity, the Fund may still experience insufficient liquidity under special market conditions. The Fund Manager will adopt corresponding liquidity risk management measures based on the actual situation to mitigate liquidity risk while safeguarding the interests of unitholders.</w:t>
      </w:r>
    </w:p>
    <w:p w14:paraId="03061CCD"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Circumstances, Procedures, and Potential Impact on Investors of Implementing Alternative Liquidity Risk Management Tools</w:t>
      </w:r>
    </w:p>
    <w:p w14:paraId="1C8B8392"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After consultation with the Fund Custodian and on the premise of ensuring the fair treatment of Investors, the Fund Manager may, in accordance with applicable laws, regulations, and the Fund Contract, employ a range of liquidity risk management tools to make appropriate adjustments to redemption requests and other matters. These serve as supplementary measures for managing liquidity risk in specific situations and include, but are not limited to:</w:t>
      </w:r>
    </w:p>
    <w:p w14:paraId="2F433A21"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a. Suspension of the acceptance of redemption requests</w:t>
      </w:r>
    </w:p>
    <w:p w14:paraId="4119D669"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For details of the circumstances under which the Fund may suspend the acceptance of redemption requests, please refer to “(VIII) Circumstances for Suspending Redemptions or Deferring Payment of Redemption Proceeds” under “VII. Creation and Redemption of Fund Units” of the Fund Contract. In such situations, an investor’s redemption request may be partially or wholly declined.</w:t>
      </w:r>
    </w:p>
    <w:p w14:paraId="17434C7E"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b. Deferral of payment of redemption proceeds</w:t>
      </w:r>
    </w:p>
    <w:p w14:paraId="0BDA4928"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For details of the circumstances under which the Fund may defer payment of redemption proceeds, please refer to “(VIII) Circumstances for Suspending Redemptions or Deferring Payment of Redemption Proceeds” under “VII. Creation and Redemption of Fund Units” of the Fund Contract. In such situations, the payment time for an investor’s redemption proceeds may be delayed relative to normal circumstances.</w:t>
      </w:r>
    </w:p>
    <w:p w14:paraId="50352CAB"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c. Suspension of Fund valuation</w:t>
      </w:r>
    </w:p>
    <w:p w14:paraId="22FF6B3F"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 xml:space="preserve">For details of the circumstances and procedures for suspending valuation, please refer to “(VI) Circumstances for Suspending Valuation” under “XV. Valuation of Fund Assets” of the Fund Contract. </w:t>
      </w:r>
    </w:p>
    <w:p w14:paraId="3BC22289"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In such situations, there will be no available NAV per Unit for investors’ reference, and the acceptance of redemption requests may also be suspended.</w:t>
      </w:r>
    </w:p>
    <w:p w14:paraId="21B3A2A9" w14:textId="77777777" w:rsidR="00CC509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d. Other measures as determined by the CSRC.</w:t>
      </w:r>
    </w:p>
    <w:p w14:paraId="0373EC6A"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22. Force Majeure</w:t>
      </w:r>
    </w:p>
    <w:p w14:paraId="114148C5"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Force majeure events such as wars and natural disasters may lead to a risk of loss to the Fund Property. The Fund Manager, Fund Custodian, stock exchanges, the Registration and Clearing Agency, distributors, and others may be unable to perform their duties normally due to force majeure, thereby affecting the timely completion of the Fund's various business activities.</w:t>
      </w:r>
    </w:p>
    <w:p w14:paraId="10917221"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(II) Disclaimer</w:t>
      </w:r>
    </w:p>
    <w:p w14:paraId="36D4172F"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This Fund is not guaranteed by any level of government, institution, or department. Investors who voluntarily invest in the Fund must bear the investment risks themselves.</w:t>
      </w:r>
    </w:p>
    <w:p w14:paraId="018A2C96" w14:textId="77777777" w:rsidR="00E55519"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In addition to direct sales conducted by the Fund Manager, the Fund is also distributed through sales agencies. However, the Fund does not constitute a deposit or liability of any sales agency, nor is it guaranteed or endorsed by any of them. Sales agencies do not guarantee the Fund’s investment returns or the safety of the principal.</w:t>
      </w:r>
    </w:p>
    <w:p w14:paraId="2CDD270C" w14:textId="77777777" w:rsidR="0081561B" w:rsidRPr="000D3C71" w:rsidRDefault="00953439" w:rsidP="002C372A">
      <w:pPr>
        <w:pStyle w:val="Heading3"/>
        <w:rPr>
          <w:rFonts w:ascii="Arial" w:hAnsi="Arial" w:cs="Arial"/>
        </w:rPr>
      </w:pPr>
      <w:bookmarkStart w:id="140" w:name="_Toc340435603"/>
      <w:bookmarkStart w:id="141" w:name="_Toc340435535"/>
      <w:bookmarkStart w:id="142" w:name="_Toc329633103"/>
      <w:bookmarkStart w:id="143" w:name="_Toc127083933"/>
      <w:bookmarkStart w:id="144" w:name="_Toc211640958"/>
      <w:r w:rsidRPr="000D3C71">
        <w:rPr>
          <w:rFonts w:ascii="Arial" w:hAnsi="Arial" w:cs="Arial"/>
          <w:bCs/>
          <w:lang w:val="en"/>
        </w:rPr>
        <w:t>XIX. Amendment, Termination of the Fund Contract, and Liquidation of Fund Property</w:t>
      </w:r>
      <w:bookmarkStart w:id="145" w:name="_Toc76969604"/>
      <w:bookmarkEnd w:id="140"/>
      <w:bookmarkEnd w:id="141"/>
      <w:bookmarkEnd w:id="142"/>
      <w:bookmarkEnd w:id="143"/>
      <w:bookmarkEnd w:id="144"/>
      <w:bookmarkEnd w:id="145"/>
    </w:p>
    <w:p w14:paraId="3B2FC5D0" w14:textId="77777777" w:rsidR="00C038A4" w:rsidRPr="000D3C71" w:rsidRDefault="00953439" w:rsidP="00503FB4">
      <w:pPr>
        <w:pStyle w:val="affd"/>
        <w:spacing w:line="360" w:lineRule="auto"/>
        <w:ind w:firstLineChars="200" w:firstLine="420"/>
        <w:rPr>
          <w:rFonts w:ascii="Arial" w:hAnsi="Arial" w:cs="Arial"/>
          <w:bCs/>
          <w:szCs w:val="21"/>
        </w:rPr>
      </w:pPr>
      <w:bookmarkStart w:id="146" w:name="_Toc79392639"/>
      <w:r w:rsidRPr="000D3C71">
        <w:rPr>
          <w:rFonts w:ascii="Arial" w:hAnsi="Arial" w:cs="Arial"/>
          <w:szCs w:val="21"/>
          <w:lang w:val="en"/>
        </w:rPr>
        <w:t>(I) Amendment of the Fund Contract</w:t>
      </w:r>
      <w:bookmarkEnd w:id="146"/>
    </w:p>
    <w:p w14:paraId="32C4825C" w14:textId="77777777" w:rsidR="00C038A4" w:rsidRPr="000D3C71" w:rsidRDefault="00953439" w:rsidP="00503FB4">
      <w:pPr>
        <w:pStyle w:val="affd"/>
        <w:autoSpaceDE w:val="0"/>
        <w:autoSpaceDN w:val="0"/>
        <w:adjustRightInd w:val="0"/>
        <w:spacing w:line="360" w:lineRule="auto"/>
        <w:ind w:firstLineChars="171" w:firstLine="359"/>
        <w:jc w:val="left"/>
        <w:rPr>
          <w:rFonts w:ascii="Arial" w:hAnsi="Arial" w:cs="Arial"/>
          <w:bCs/>
          <w:szCs w:val="21"/>
        </w:rPr>
      </w:pPr>
      <w:r w:rsidRPr="000D3C71">
        <w:rPr>
          <w:rFonts w:ascii="Arial" w:hAnsi="Arial" w:cs="Arial"/>
          <w:szCs w:val="21"/>
          <w:lang w:val="en"/>
        </w:rPr>
        <w:t>1. Amendments to the Fund Contract involving matters that, under laws and regulations or the Fund Contract, require a resolution of the Fund Unitholders' meeting, shall be passed by a resolution at such a meeting. For matters that do not require a resolution of the Fund Unitholders' meeting, the Fund Contract may be amended upon the mutual consent of the Fund Manager and the Fund Custodian, and such amendment shall be announced and filed with the CSRC for record.</w:t>
      </w:r>
    </w:p>
    <w:p w14:paraId="37C9D1A6" w14:textId="77777777" w:rsidR="00C038A4" w:rsidRPr="000D3C71" w:rsidRDefault="00953439" w:rsidP="00DF628C">
      <w:pPr>
        <w:pStyle w:val="affd"/>
        <w:spacing w:line="360" w:lineRule="auto"/>
        <w:ind w:firstLineChars="200" w:firstLine="420"/>
        <w:rPr>
          <w:rFonts w:ascii="Arial" w:hAnsi="Arial" w:cs="Arial"/>
          <w:bCs/>
          <w:szCs w:val="21"/>
        </w:rPr>
      </w:pPr>
      <w:r w:rsidRPr="000D3C71">
        <w:rPr>
          <w:rFonts w:ascii="Arial" w:hAnsi="Arial" w:cs="Arial"/>
          <w:szCs w:val="21"/>
          <w:lang w:val="en"/>
        </w:rPr>
        <w:t>2. A resolution of the Fund Unitholders' meeting regarding any amendment to the Fund Contract shall take effect only after approval by the CSRC. An announcement shall be made on the designated media within two business days from the date of receiving the CSRC’s approval or no-objection letter.</w:t>
      </w:r>
    </w:p>
    <w:p w14:paraId="547C990E" w14:textId="77777777" w:rsidR="00C038A4"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(II) Grounds for Termination of the Fund Contract</w:t>
      </w:r>
    </w:p>
    <w:p w14:paraId="4B08A06D" w14:textId="77777777" w:rsidR="00C038A4"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Contract shall terminate under any of the following circumstances:</w:t>
      </w:r>
    </w:p>
    <w:p w14:paraId="24FF567B"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A resolution for termination is passed at the Fund Unitholders' meeting.</w:t>
      </w:r>
    </w:p>
    <w:p w14:paraId="72A58133"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The duties of the Fund Manager or the Fund Custodian are terminated, and no new Fund Manager or new Fund Custodian is appointed to succeed them within six months.</w:t>
      </w:r>
    </w:p>
    <w:p w14:paraId="525A7D88"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Other circumstances as stipulated in the Fund Contract.</w:t>
      </w:r>
    </w:p>
    <w:p w14:paraId="748EBBEB" w14:textId="77777777" w:rsidR="00C038A4"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Other circumstances as prescribed by the relevant laws and regulations and the CSRC.</w:t>
      </w:r>
    </w:p>
    <w:p w14:paraId="22CC2DB2" w14:textId="77777777" w:rsidR="00C038A4"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(III) Liquidation of Fund Property</w:t>
      </w:r>
    </w:p>
    <w:p w14:paraId="0E01BAF1" w14:textId="77777777" w:rsidR="00C038A4"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Fund Property Liquidation Committee: A Fund Property Liquidation Committee shall be established within thirty business days from the date a cause for termination of the Fund Contract arises. The Fund Manager shall form the Fund Property Liquidation Committee and conduct the liquidation under the supervision of the CSRC.</w:t>
      </w:r>
    </w:p>
    <w:p w14:paraId="736D68A5" w14:textId="77777777" w:rsidR="00C038A4"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Composition: The Fund Property Liquidation Committee shall consist of the Fund Manager, the Fund Custodian, certified public accountants and lawyers qualified to engage in securities-related business, and personnel designated by the CSRC. The Fund Property Liquidation Committee may hire necessary staff.</w:t>
      </w:r>
    </w:p>
    <w:p w14:paraId="47546B84" w14:textId="77777777" w:rsidR="00C038A4"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Duties: The Fund Property Liquidation Committee shall be responsible for the safekeeping, inventory, valuation, realization, and distribution of the Fund Property, and may, in accordance with the law, undertake necessary civil acts.</w:t>
      </w:r>
    </w:p>
    <w:p w14:paraId="0CAD7E3F" w14:textId="77777777" w:rsidR="00C038A4"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Liquidation Procedures:</w:t>
      </w:r>
    </w:p>
    <w:p w14:paraId="76D101D0"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Upon the occurrence of any grounds for termination under the Fund Contract, the Fund Property Liquidation Committee shall assume control of the Fund.</w:t>
      </w:r>
    </w:p>
    <w:p w14:paraId="4B3F7AFA"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Identify and confirm the Fund Property, claims, and liabilities.</w:t>
      </w:r>
    </w:p>
    <w:p w14:paraId="5D5DB0BF"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Value and realize the Fund Property.</w:t>
      </w:r>
    </w:p>
    <w:p w14:paraId="6E5266C0"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Prepare a liquidation report.</w:t>
      </w:r>
    </w:p>
    <w:p w14:paraId="6A3CCC02"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(5) Engage an accounting firm to perform an external audit of the liquidation report and a law firm to issue a legal opinion on the report.</w:t>
      </w:r>
    </w:p>
    <w:p w14:paraId="396B5719" w14:textId="77777777" w:rsidR="00C038A4"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(6) File the liquidation report with the CSRC for record and announce it on the designated media.</w:t>
      </w:r>
    </w:p>
    <w:p w14:paraId="65F922E9" w14:textId="77777777" w:rsidR="00C204C3"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(7) Distribute the Fund Property.</w:t>
      </w:r>
    </w:p>
    <w:p w14:paraId="21BD33C4" w14:textId="77777777" w:rsidR="00C038A4"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(IV) Liquidation Expenses</w:t>
      </w:r>
    </w:p>
    <w:p w14:paraId="7277A7FD" w14:textId="77777777" w:rsidR="00C038A4"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Liquidation expenses refer to all reasonable costs incurred by the Fund Property Liquidation Committee during the liquidation process. Such expenses shall be paid out of the Fund Property on a priority basis.</w:t>
      </w:r>
    </w:p>
    <w:p w14:paraId="7374812E" w14:textId="77777777" w:rsidR="00C038A4"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 Distribution of Remaining Assets after Liquidation of Fund Property</w:t>
      </w:r>
    </w:p>
    <w:p w14:paraId="578CADAE" w14:textId="77777777" w:rsidR="00C038A4"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In accordance with the liquidation distribution plan, all remaining Property, after deducting liquidation expenses, paying all taxes owed, and settling all Fund liabilities, shall be distributed to Fund Unitholders in proportion to the Fund Units they hold.</w:t>
      </w:r>
    </w:p>
    <w:p w14:paraId="4AEFE2AC" w14:textId="77777777" w:rsidR="00C038A4"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(VI) Announcements Regarding Liquidation of Fund Property</w:t>
      </w:r>
    </w:p>
    <w:p w14:paraId="6FD7C0FD" w14:textId="77777777" w:rsidR="00C038A4"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Any material matters arising during the liquidation process shall be announced promptly. The liquidation report, after being audited by an accounting firm and with a legal opinion issued by a law firm, shall be filed with the CSRC for record and announced. The announcement of the liquidation report shall be made by the Fund Property Liquidation Committee within five business days of the report being filed with the CSRC.</w:t>
      </w:r>
    </w:p>
    <w:p w14:paraId="4313A850" w14:textId="77777777" w:rsidR="00C038A4"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(VII) Retention of Liquidation Books and Documents</w:t>
      </w:r>
    </w:p>
    <w:p w14:paraId="642CEF62" w14:textId="77777777" w:rsidR="00C038A4" w:rsidRPr="000D3C71" w:rsidRDefault="00953439">
      <w:pPr>
        <w:pStyle w:val="NormalIndent"/>
        <w:spacing w:line="360" w:lineRule="auto"/>
        <w:rPr>
          <w:rFonts w:ascii="Arial" w:hAnsi="Arial" w:cs="Arial"/>
        </w:rPr>
      </w:pPr>
      <w:r w:rsidRPr="000D3C71">
        <w:rPr>
          <w:rFonts w:ascii="Arial" w:hAnsi="Arial" w:cs="Arial"/>
          <w:lang w:val="en"/>
        </w:rPr>
        <w:t>The accounting books and related documents from the Fund Property liquidation shall be retained by the Fund Custodian for no less than 15 years.</w:t>
      </w:r>
    </w:p>
    <w:p w14:paraId="2AE87924" w14:textId="77777777" w:rsidR="0081561B" w:rsidRPr="000D3C71" w:rsidRDefault="00953439" w:rsidP="002C372A">
      <w:pPr>
        <w:pStyle w:val="Heading3"/>
        <w:rPr>
          <w:rFonts w:ascii="Arial" w:hAnsi="Arial" w:cs="Arial"/>
        </w:rPr>
      </w:pPr>
      <w:bookmarkStart w:id="147" w:name="_Toc340435604"/>
      <w:bookmarkStart w:id="148" w:name="_Toc340435536"/>
      <w:bookmarkStart w:id="149" w:name="_Toc329633104"/>
      <w:bookmarkStart w:id="150" w:name="_Toc127083934"/>
      <w:bookmarkStart w:id="151" w:name="_Toc63171764"/>
      <w:bookmarkStart w:id="152" w:name="_Toc530223198"/>
      <w:bookmarkStart w:id="153" w:name="_Toc211640959"/>
      <w:r w:rsidRPr="000D3C71">
        <w:rPr>
          <w:rFonts w:ascii="Arial" w:hAnsi="Arial" w:cs="Arial"/>
          <w:bCs/>
          <w:lang w:val="en"/>
        </w:rPr>
        <w:t>XX. Excerpts from the Fund Contract</w:t>
      </w:r>
      <w:bookmarkEnd w:id="147"/>
      <w:bookmarkEnd w:id="148"/>
      <w:bookmarkEnd w:id="149"/>
      <w:bookmarkEnd w:id="150"/>
      <w:bookmarkEnd w:id="153"/>
    </w:p>
    <w:p w14:paraId="337C1B31" w14:textId="77777777" w:rsidR="002E6645" w:rsidRPr="000D3C71" w:rsidRDefault="00953439" w:rsidP="00503FB4">
      <w:pPr>
        <w:pStyle w:val="affd"/>
        <w:tabs>
          <w:tab w:val="left" w:pos="3780"/>
        </w:tabs>
        <w:autoSpaceDE w:val="0"/>
        <w:autoSpaceDN w:val="0"/>
        <w:adjustRightInd w:val="0"/>
        <w:spacing w:line="360" w:lineRule="auto"/>
        <w:ind w:firstLineChars="200" w:firstLine="420"/>
        <w:rPr>
          <w:rFonts w:ascii="Arial" w:hAnsi="Arial" w:cs="Arial"/>
        </w:rPr>
      </w:pPr>
      <w:r w:rsidRPr="000D3C71">
        <w:rPr>
          <w:rFonts w:ascii="Arial" w:hAnsi="Arial" w:cs="Arial"/>
          <w:lang w:val="en"/>
        </w:rPr>
        <w:t>The following are excerpts from the ChinaAMC CSI 300 Exchange Traded Fund Contract:</w:t>
      </w:r>
    </w:p>
    <w:p w14:paraId="3B2BFAB9" w14:textId="77777777" w:rsidR="002E6645" w:rsidRPr="000D3C71" w:rsidRDefault="00953439" w:rsidP="00503FB4">
      <w:pPr>
        <w:pStyle w:val="affd"/>
        <w:spacing w:line="360" w:lineRule="auto"/>
        <w:ind w:firstLineChars="200" w:firstLine="420"/>
        <w:rPr>
          <w:rFonts w:ascii="Arial" w:hAnsi="Arial" w:cs="Arial"/>
          <w:bCs/>
        </w:rPr>
      </w:pPr>
      <w:r w:rsidRPr="000D3C71">
        <w:rPr>
          <w:rFonts w:ascii="Arial" w:hAnsi="Arial" w:cs="Arial"/>
          <w:lang w:val="en"/>
        </w:rPr>
        <w:t>VIII. Parties to the Fund Contract and Their Rights and Obligations</w:t>
      </w:r>
    </w:p>
    <w:p w14:paraId="213E4F78" w14:textId="77777777" w:rsidR="002E6645" w:rsidRPr="000D3C71" w:rsidRDefault="00953439" w:rsidP="00DF628C">
      <w:pPr>
        <w:pStyle w:val="affd"/>
        <w:spacing w:line="360" w:lineRule="auto"/>
        <w:ind w:firstLineChars="200" w:firstLine="420"/>
        <w:rPr>
          <w:rFonts w:ascii="Arial" w:hAnsi="Arial" w:cs="Arial"/>
          <w:bCs/>
        </w:rPr>
      </w:pPr>
      <w:r w:rsidRPr="000D3C71">
        <w:rPr>
          <w:rFonts w:ascii="Arial" w:hAnsi="Arial" w:cs="Arial"/>
          <w:lang w:val="en"/>
        </w:rPr>
        <w:t>(I) Fund Manager</w:t>
      </w:r>
    </w:p>
    <w:p w14:paraId="6E7B7446"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 Rights of the Fund Manager</w:t>
      </w:r>
    </w:p>
    <w:p w14:paraId="11289ECA"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In accordance with the Fund Law, the Measures for Fund Operations, and other relevant provisions, the rights of the Fund Manager include but are not limited to:</w:t>
      </w:r>
    </w:p>
    <w:p w14:paraId="5E605A83"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 To raise the Fund in accordance with the law.</w:t>
      </w:r>
    </w:p>
    <w:p w14:paraId="317D3719"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 To independently utilize and manage Fund Property in accordance with laws and regulations and the Fund Contract, commencing from the Fund Contract Effective Date.</w:t>
      </w:r>
    </w:p>
    <w:p w14:paraId="2BB775F4"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(3) To collect fund management fees in accordance with the Fund Contract and other charges stipulated by laws and regulations or approved by the CSRC.</w:t>
      </w:r>
    </w:p>
    <w:p w14:paraId="3834CA23"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(4) To distribute Fund Units.</w:t>
      </w:r>
    </w:p>
    <w:p w14:paraId="5C3B78E7"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(5) To convene a Fund Unitholders' meeting.</w:t>
      </w:r>
    </w:p>
    <w:p w14:paraId="709A2E1A"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(6) To supervise the Fund Custodian in accordance with the Fund Contract and relevant laws and regulations; if it believes the Fund Custodian has violated the Fund Contract or applicable national laws and regulations, it shall report the matter to the CSRC and other regulatory authorities and take necessary measures to protect the interests of the Fund’s investors.</w:t>
      </w:r>
    </w:p>
    <w:p w14:paraId="65E782C5"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(7) To nominate a new Fund Custodian when the current one is replaced.</w:t>
      </w:r>
    </w:p>
    <w:p w14:paraId="7D90ABFC"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(8) To select and replace distributors and to supervise and take action regarding their related activities.</w:t>
      </w:r>
    </w:p>
    <w:p w14:paraId="3222DC62"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(9) To act as, or appoint another qualified institution to act as, the Registration and Clearing Agency in order to provide registration and clearing services for the Fund, and to collect the fees specified in the Fund Contract.</w:t>
      </w:r>
    </w:p>
    <w:p w14:paraId="7E6D5C90"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(10) To determine the Fund’s income distribution plan in accordance with the Fund Contract and relevant laws and regulations.</w:t>
      </w:r>
    </w:p>
    <w:p w14:paraId="4484ECA9"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(11) To refuse or suspend the acceptance of creation and redemption applications within the scope stipulated by the Fund Contract.</w:t>
      </w:r>
    </w:p>
    <w:p w14:paraId="3A77DC0C"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(12) To exercise, for the benefit of the Fund, shareholder rights with respect to its portfolio companies and other rights arising from Fund Property investments in securities, all in compliance with laws and regulations.</w:t>
      </w:r>
    </w:p>
    <w:p w14:paraId="23418B3B"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(13) To, for the benefit of the Fund and in compliance with applicable laws and regulations, apply for and engage in margin financing, securities lending, CSF securities lending, and other related business, including arranging for the Fund to serve as an eligible security for such transactions.</w:t>
      </w:r>
    </w:p>
    <w:p w14:paraId="24872C3A"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(14) To exercise litigation rights or take other legal actions in its own name on behalf of the interests of Fund Unitholders.</w:t>
      </w:r>
    </w:p>
    <w:p w14:paraId="70B88615"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(15) To select and replace law firms, accounting firms, securities brokers, or other external service providers for the Fund.</w:t>
      </w:r>
    </w:p>
    <w:p w14:paraId="71FCCBBC"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(16) To formulate and adjust the business rules for the subscription, creation, redemption, conversion, and non-trading transfer of Fund Units, subject to compliance with relevant laws and regulations.</w:t>
      </w:r>
    </w:p>
    <w:p w14:paraId="0A20F219"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(17) Other rights stipulated by laws and regulations, the CSRC, and the Fund Contract.</w:t>
      </w:r>
    </w:p>
    <w:p w14:paraId="2CF453DE"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3. Obligations of the Fund Manager</w:t>
      </w:r>
    </w:p>
    <w:p w14:paraId="34423AA0"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In accordance with the Fund Law, the Measures for Fund Operations, and other relevant provisions, the obligations of the Fund Manager include but are not limited to:</w:t>
      </w:r>
    </w:p>
    <w:p w14:paraId="6BCFD0D5"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 To raise the Fund in accordance with the law, and to conduct, or entrust other institutions authorized by the CSRC to conduct, the offering, creation, redemption, and registration of Fund Units.</w:t>
      </w:r>
    </w:p>
    <w:p w14:paraId="1E8B6AE0"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 To complete fund filing procedures.</w:t>
      </w:r>
    </w:p>
    <w:p w14:paraId="658FD1A3"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(3) To manage and utilize Fund Property in good faith and with prudence and diligence, commencing from the Fund Contract Effective Date.</w:t>
      </w:r>
    </w:p>
    <w:p w14:paraId="596A583E"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(4) To employ a sufficient number of professionally qualified personnel for fund investment analysis and decision-making and to manage and operate the Fund Property in a professional manner.</w:t>
      </w:r>
    </w:p>
    <w:p w14:paraId="5FC8304B"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(5) To establish and maintain sound internal systems for risk control, compliance and audit, financial management, and human resources management; to ensure that the Fund Property under its management is independent of the Fund Manager’s own assets; and to manage different funds separately, maintain separate accounts, and conduct securities investment accordingly.</w:t>
      </w:r>
    </w:p>
    <w:p w14:paraId="1DF18B0F"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(6) Except as otherwise provided by the Fund Law, the Fund Contract, or other applicable regulations, the Fund Manager shall not use Fund Property to seek gains for itself or any third party, nor entrust a third party to operate the Fund Property.</w:t>
      </w:r>
    </w:p>
    <w:p w14:paraId="567081CF"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(7) To be subject to the supervision of the Fund Custodian in accordance with the law.</w:t>
      </w:r>
    </w:p>
    <w:p w14:paraId="3530C75A"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(8) To take appropriate and reasonable measures to ensure that pricing methods for the subscription, creation, redemption, and cancellation of Fund Units comply with the provisions of the Fund Contract and other legal documents; to calculate and disclose NAV information in accordance with applicable regulations; and to determine the creation and redemption consideration for Fund Units.</w:t>
      </w:r>
    </w:p>
    <w:p w14:paraId="2B5CA9C7"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(9) To perform fund accounting and prepare the Fund’s financial statements.</w:t>
      </w:r>
    </w:p>
    <w:p w14:paraId="1CEA0838"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(10) To prepare quarterly, semi-annual, and annual fund reports.</w:t>
      </w:r>
    </w:p>
    <w:p w14:paraId="594A0669"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(11) To strictly fulfill information disclosure and reporting obligations in accordance with the Fund Law, the Fund Contract, and other relevant provisions.</w:t>
      </w:r>
    </w:p>
    <w:p w14:paraId="07E4E195"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(12) To maintain the confidentiality of the Fund’s business secrets, including investment plans and investment intentions. Except as otherwise required by the Fund Law, the Fund Contract, or other relevant regulations, such information must be kept confidential and not be disclosed to any third party prior to its official public disclosure.</w:t>
      </w:r>
    </w:p>
    <w:p w14:paraId="72AED922"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(13) To determine the fund income distribution plan as stipulated in the Fund Contract and to distribute fund income to Fund Unitholders in a timely manner.</w:t>
      </w:r>
    </w:p>
    <w:p w14:paraId="38CCDC8C"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(14) To process creation and redemption applications in accordance with regulations and to pay redemption consideration promptly and in full.</w:t>
      </w:r>
    </w:p>
    <w:p w14:paraId="2635AF9E"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(15) To convene, or cooperate with the Fund Custodian and Fund Unitholders in convening, a Fund Unitholders' meeting in accordance with the Fund Law, the Fund Contract, and other relevant provisions.</w:t>
      </w:r>
    </w:p>
    <w:p w14:paraId="749F022F"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(16) To preserve accounting books, statements, records, and other relevant materials relating to fund property management for at least 15 years.</w:t>
      </w:r>
    </w:p>
    <w:p w14:paraId="1323B159"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(17) To ensure that all documents or materials required to be provided to investors are dispatched within the prescribed timeframe and that investors can at any time access publicly disclosed information regarding the Fund and obtain copies upon payment of reasonable costs.</w:t>
      </w:r>
    </w:p>
    <w:p w14:paraId="5B5768F0"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(18) To organize and participate in the Fund Property Liquidation Committee, and to take part in the custody, liquidation, valuation, realization, and distribution of the Fund Property.</w:t>
      </w:r>
    </w:p>
    <w:p w14:paraId="4361B593"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(19) In the event of dissolution, lawful revocation, or a declaration of bankruptcy, to promptly report to the CSRC and notify the Fund Custodian.</w:t>
      </w:r>
    </w:p>
    <w:p w14:paraId="167FA1F2"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(20) To be liable for any loss to Fund Property or harm to the legitimate rights and interests of Fund Unitholders resulting from its violation of the Fund Contract; such liability shall survive its resignation.</w:t>
      </w:r>
    </w:p>
    <w:p w14:paraId="397476B7"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(21) To supervise the Fund Custodian to ensure it performs its obligations in accordance with laws and regulations and the Fund Contract; if the Fund Custodian causes losses to Fund Property by violating the Fund Contract, the Fund Manager shall seek recourse against the Fund Custodian on behalf of the interests of the Fund Unitholders.</w:t>
      </w:r>
    </w:p>
    <w:p w14:paraId="43FB0DFE"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(22) When delegating duties to a third party, to remain responsible for the actions of such third party in handling fund-related matters.</w:t>
      </w:r>
    </w:p>
    <w:p w14:paraId="11549601"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(23) To exercise litigation rights or take other legal actions in its own name on behalf of the interests of Fund Unitholders.</w:t>
      </w:r>
    </w:p>
    <w:p w14:paraId="750B57D6"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(24) If the Fund fails to meet filing conditions during the Offering Period and the Fund Contract cannot take effect, the Fund Manager shall bear all offering expenses and, within 30 days after the end of the Offering Period, refund the subscription funds plus interest accrued at the prevailing bank deposit rate to subscribers.</w:t>
      </w:r>
    </w:p>
    <w:p w14:paraId="4F35A4C7"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(25) To implement effective resolutions of the Fund Unitholders' meeting.</w:t>
      </w:r>
    </w:p>
    <w:p w14:paraId="57FF3FD5"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(26) To establish and preserve the register of Fund Unitholders.</w:t>
      </w:r>
    </w:p>
    <w:p w14:paraId="7640AA8A"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(27) Other obligations stipulated by laws and regulations, the CSRC, and the Fund Contract.</w:t>
      </w:r>
    </w:p>
    <w:p w14:paraId="29DB5A02"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(II) Fund Custodian</w:t>
      </w:r>
    </w:p>
    <w:p w14:paraId="5F18CB87"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 Rights of the Fund Custodian</w:t>
      </w:r>
    </w:p>
    <w:p w14:paraId="5544DAD9"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In accordance with the Fund Law, the Measures for Fund Operations, and other relevant provisions, the rights of the Fund Custodian include but are not limited to:</w:t>
      </w:r>
    </w:p>
    <w:p w14:paraId="4D8CAABF"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 To safeguard the Fund Property in accordance with laws and regulations and the Fund Contract, commencing from the Fund Contract Effective Date.</w:t>
      </w:r>
    </w:p>
    <w:p w14:paraId="287F3B27"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 To receive fund custody fees as agreed in the Fund Contract and other fees stipulated by laws and regulations or approved by regulatory authorities.</w:t>
      </w:r>
    </w:p>
    <w:p w14:paraId="340D11DF"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(3) To supervise the investment operations of the Fund Manager; if it discovers that the Fund Manager has committed acts violating the Fund Contract or national laws and regulations, resulting in material loss to the Fund Property or the interests of other Parties to the Fund Contract, it shall report the matter to the CSRC and take necessary measures to protect the interests of the Fund’s investors.</w:t>
      </w:r>
    </w:p>
    <w:p w14:paraId="74737585"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(4) To open securities accounts for the Fund and settle the Fund's securities transactions in accordance with relevant market rules.</w:t>
      </w:r>
    </w:p>
    <w:p w14:paraId="0C706389"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(5) To propose or convene a Fund Unitholders' meeting.</w:t>
      </w:r>
    </w:p>
    <w:p w14:paraId="4EA727C1"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(6) To nominate a new Fund Manager when the current one is replaced.</w:t>
      </w:r>
    </w:p>
    <w:p w14:paraId="7DACFEA9"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(7) Other rights stipulated by laws and regulations, the CSRC, and the Fund Contract.</w:t>
      </w:r>
    </w:p>
    <w:p w14:paraId="70B29AA5"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3. Obligations of the Fund Custodian</w:t>
      </w:r>
    </w:p>
    <w:p w14:paraId="0EE39286"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In accordance with the Fund Law, the Measures for Fund Operations, and other relevant provisions, the obligations of the Fund Custodian include but are not limited to:</w:t>
      </w:r>
    </w:p>
    <w:p w14:paraId="4B78C56B"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 To hold and safeguard the Fund Property in good faith and with diligence and due care.</w:t>
      </w:r>
    </w:p>
    <w:p w14:paraId="733A7030"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 To establish a dedicated fund custody department, maintain appropriate business premises, and employ a sufficient number of qualified full-time staff who are well-versed in fund custody operations and responsible for the custody of Fund Property.</w:t>
      </w:r>
    </w:p>
    <w:p w14:paraId="23EEC4DF"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(3) To establish and maintain sound internal systems for risk control, compliance and audit, financial management, and personnel management; to ensure the security of the Fund Property; to ensure that the Fund Property under its custody is independent of the Fund Custodian’s own property and of other fund assets under its custody; and to set up separate accounts, perform independent accounting, and maintain separate management to ensure segregation among different funds in account setup, fund transfers, and record keeping.</w:t>
      </w:r>
    </w:p>
    <w:p w14:paraId="1A0353FD"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(4) Except as otherwise provided by the Fund Law, the Fund Contract, or other relevant regulations, the Fund Custodian shall not use Fund Property to seek gains for itself or any third party, nor entrust a third party with the custody of Fund Property.</w:t>
      </w:r>
    </w:p>
    <w:p w14:paraId="0CB9D480"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(5) To keep major contracts and relevant documentation related to the Fund that are executed by the Fund Manager on behalf of the Fund.</w:t>
      </w:r>
    </w:p>
    <w:p w14:paraId="5019DFD5"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(6) To open cash and securities accounts for the Fund Property as required by regulations and to promptly handle clearing and settlement in accordance with the Fund Manager’s investment instructions and the Fund Contract.</w:t>
      </w:r>
    </w:p>
    <w:p w14:paraId="0BACC41A"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(7) To maintain the confidentiality of the Fund’s business secrets; except as otherwise required by the Fund Law, the Fund Contract, or other relevant regulations, such information shall remain confidential and shall not be disclosed to any third party prior to public disclosure.</w:t>
      </w:r>
    </w:p>
    <w:p w14:paraId="7DEBC520"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(8) To review and verify the NAV of the Fund and the creation and redemption prices of Fund Units calculated by the Fund Manager.</w:t>
      </w:r>
    </w:p>
    <w:p w14:paraId="58F658DB"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(9) To handle information disclosure matters related to its fund custody operations.</w:t>
      </w:r>
    </w:p>
    <w:p w14:paraId="7DBBA9B0"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(10) To issue opinions on the Fund’s financial statements, quarterly, semi-annual, and annual reports, stating whether the Fund Manager’s operations, in all material respects, have been conducted in strict accordance with the Fund Contract; if the Fund Manager fails to comply with the Fund Contract, the Fund Custodian shall also indicate whether it has taken appropriate measures.</w:t>
      </w:r>
    </w:p>
    <w:p w14:paraId="2369C6DE"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(11) To preserve records, books, statements, and other relevant materials relating to its fund custody operations for at least 15 years.</w:t>
      </w:r>
    </w:p>
    <w:p w14:paraId="2BFEE4ED"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(12) To establish and preserve the register of Fund Unitholders.</w:t>
      </w:r>
    </w:p>
    <w:p w14:paraId="6CA12D5D"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(13) To prepare relevant books and records as required by law and reconcile them with the Fund Manager.</w:t>
      </w:r>
    </w:p>
    <w:p w14:paraId="7E563DBF"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(14) To pay fund income and redemption consideration to Fund Unitholders in accordance with the Fund Manager’s instructions or relevant regulations.</w:t>
      </w:r>
    </w:p>
    <w:p w14:paraId="4D8BB70E"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(15) To convene, or cooperate with the Fund Manager and Fund Unitholders to convene, a Fund Unitholders' meeting in accordance with the Fund Law, the Fund Contract, and other relevant provisions.</w:t>
      </w:r>
    </w:p>
    <w:p w14:paraId="03FA78DE"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(16) To supervise the Fund Manager’s investment operations in accordance with laws and regulations and the Fund Contract.</w:t>
      </w:r>
    </w:p>
    <w:p w14:paraId="3AFB9BE3"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(17) To participate in the Fund Property Liquidation Committee and to take part in the custody, liquidation, valuation of Fund assets, realization, and distribution of Fund Property.</w:t>
      </w:r>
    </w:p>
    <w:p w14:paraId="619838FE"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(18) In the event of dissolution, lawful revocation, or a declaration of bankruptcy, to promptly report to the CSRC and the Banking Regulatory Authority and notify the Fund Manager.</w:t>
      </w:r>
    </w:p>
    <w:p w14:paraId="27CF46D6"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(19) To be liable for any loss to Fund Property caused by its violation of the Fund Contract; such liability shall not be discharged upon its resignation.</w:t>
      </w:r>
    </w:p>
    <w:p w14:paraId="55DD3C0F"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(20) To supervise the Fund Manager, as required by laws and regulations and the Fund Contract, to ensure it performs its obligations; if the Fund Manager causes losses to the Fund Property by violating the Fund Contract, the Fund Custodian shall seek recourse against the Fund Manager on behalf of the interests of Fund Unitholders.</w:t>
      </w:r>
    </w:p>
    <w:p w14:paraId="2355EDC2"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(21) To implement effective resolutions of the Fund Unitholders' meeting.</w:t>
      </w:r>
    </w:p>
    <w:p w14:paraId="328EEAF1"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(22) Other obligations stipulated by laws and regulations, the CSRC, and the Fund Contract.</w:t>
      </w:r>
    </w:p>
    <w:p w14:paraId="2FD7F39F"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(III) Fund Unitholders</w:t>
      </w:r>
    </w:p>
    <w:p w14:paraId="0AA9ECF6"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An investor’s act of holding units of the Fund constitutes acknowledgment and acceptance of the Fund Contract. An investor who acquires Fund Units in accordance with the Fund Contract becomes a Fund Unitholder and a Party to the Fund Contract, and remains such until they no longer hold any units of the Fund. It is not necessary for a Fund Unitholder, as a Party to the Fund Contract, to sign or affix a seal to the Fund Contract in writing.</w:t>
      </w:r>
    </w:p>
    <w:p w14:paraId="33F456CF"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Each Fund Unit carries equal legal rights and interests.</w:t>
      </w:r>
    </w:p>
    <w:p w14:paraId="3FB31AF1"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 In accordance with the Fund Law, the Measures for Fund Operations, and other relevant provisions, the rights of a Fund Unitholder include but are not limited to:</w:t>
      </w:r>
    </w:p>
    <w:p w14:paraId="551D5DED"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 To share in the income of the Fund Property.</w:t>
      </w:r>
    </w:p>
    <w:p w14:paraId="62A926C9"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 To participate in the distribution of any remaining Fund Property after liquidation.</w:t>
      </w:r>
    </w:p>
    <w:p w14:paraId="0E41D71F"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(3) To apply for redemption of the Fund Units held, in accordance with law.</w:t>
      </w:r>
    </w:p>
    <w:p w14:paraId="0EE67B89"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(4) To request the convening of a Fund Unitholders' meeting in accordance with applicable regulations.</w:t>
      </w:r>
    </w:p>
    <w:p w14:paraId="3B1DDDE2"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(5) To attend in person, or appoint a proxy to attend, a Fund Unitholders' meeting and exercise voting rights on matters under consideration.</w:t>
      </w:r>
    </w:p>
    <w:p w14:paraId="03D5F9E7"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(6) To inspect or obtain copies of publicly disclosed fund information and materials.</w:t>
      </w:r>
    </w:p>
    <w:p w14:paraId="42E0BB61"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(7) To supervise the investment operations of the Fund Manager.</w:t>
      </w:r>
    </w:p>
    <w:p w14:paraId="42815560"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(8) To institute legal proceedings or arbitration in accordance with law against the Fund Manager, Fund Custodian, or distributors for actions that infringe upon their legitimate rights and interests.</w:t>
      </w:r>
    </w:p>
    <w:p w14:paraId="76B5153E"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(9) Other rights stipulated by laws and regulations, the CSRC, and the Fund Contract.</w:t>
      </w:r>
    </w:p>
    <w:p w14:paraId="1BFCF5C5"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 In accordance with the Fund Law, the Measures for Fund Operations, and other relevant provisions, the obligations of a Fund Unitholder include but are not limited to:</w:t>
      </w:r>
    </w:p>
    <w:p w14:paraId="526D3EFD"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 To carefully read and comply with the Fund Contract.</w:t>
      </w:r>
    </w:p>
    <w:p w14:paraId="44164122"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(2) To understand the fund product invested in, be aware of their own risk tolerance, and bear investment risks independently.</w:t>
      </w:r>
    </w:p>
    <w:p w14:paraId="24CD8B4C"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(3) To pay attention to the Fund’s information disclosure and to exercise their rights and fulfill their obligations in a timely manner.</w:t>
      </w:r>
    </w:p>
    <w:p w14:paraId="7C65A332"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(4) To pay the subscription and creation consideration and any fees stipulated by laws and regulations and the Fund Contract.</w:t>
      </w:r>
    </w:p>
    <w:p w14:paraId="6232A508"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(5) To bear limited liability, up to the value of the Fund Units they hold, for any losses incurred by the Fund or in the event of the Fund Contract's termination.</w:t>
      </w:r>
    </w:p>
    <w:p w14:paraId="4BF20516"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(6) Not to engage in any acts detrimental to the legitimate rights and interests of the Fund or other Parties to the Fund Contract.</w:t>
      </w:r>
    </w:p>
    <w:p w14:paraId="1EBA0D63"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(7) To implement effective resolutions of the Fund Unitholders' meeting.</w:t>
      </w:r>
    </w:p>
    <w:p w14:paraId="62A0541F"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(8) To return any unjust enrichment obtained by any means during the course of fund transactions.</w:t>
      </w:r>
    </w:p>
    <w:p w14:paraId="3BC81C34"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(9) To provide information lawfully required by the Fund Manager and regulatory authorities, to update such information as necessary, and to guarantee its authenticity.</w:t>
      </w:r>
    </w:p>
    <w:p w14:paraId="06EEC2CC" w14:textId="77777777" w:rsidR="002E6645" w:rsidRPr="000D3C71" w:rsidRDefault="00953439">
      <w:pPr>
        <w:pStyle w:val="affd"/>
        <w:spacing w:line="360" w:lineRule="auto"/>
        <w:ind w:firstLineChars="200" w:firstLine="420"/>
        <w:rPr>
          <w:rFonts w:ascii="Arial" w:hAnsi="Arial" w:cs="Arial"/>
          <w:bCs/>
        </w:rPr>
      </w:pPr>
      <w:r w:rsidRPr="000D3C71">
        <w:rPr>
          <w:rFonts w:ascii="Arial" w:hAnsi="Arial" w:cs="Arial"/>
          <w:lang w:val="en"/>
        </w:rPr>
        <w:t>(10) Other obligations stipulated by laws and regulations, the CSRC, and the Fund Contract.</w:t>
      </w:r>
    </w:p>
    <w:p w14:paraId="10B3BFAA"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IX. Fund Unitholders' Meeting</w:t>
      </w:r>
    </w:p>
    <w:p w14:paraId="5ACC8F09"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Unitholders' meeting is composed of all Fund Unitholders. Duly authorized representatives of Fund Unitholders shall be entitled to attend the meeting and vote on their behalf. Each Fund Unit carries equal voting rights.</w:t>
      </w:r>
    </w:p>
    <w:p w14:paraId="74982189"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 Grounds for Convening</w:t>
      </w:r>
    </w:p>
    <w:p w14:paraId="0B4B79BC"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A Fund Unitholders' meeting shall be convened if it is necessary to decide on any of the following matters:</w:t>
      </w:r>
    </w:p>
    <w:p w14:paraId="6989E99A"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Termination of the Fund Contract.</w:t>
      </w:r>
    </w:p>
    <w:p w14:paraId="6AD39DA6"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Replacement of the Fund Manager.</w:t>
      </w:r>
    </w:p>
    <w:p w14:paraId="5353C7F0"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Replacement of the Fund Custodian.</w:t>
      </w:r>
    </w:p>
    <w:p w14:paraId="502A2BE9"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Change in the Fund’s mode of operation (unless otherwise stipulated by laws and regulations, the Fund Contract, or the CSRC).</w:t>
      </w:r>
    </w:p>
    <w:p w14:paraId="7CE36ECB"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(5) An increase in the remuneration standards of the Fund Manager or the Fund Custodian.</w:t>
      </w:r>
    </w:p>
    <w:p w14:paraId="3C1E6A31"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(6) Change in the Fund’s category.</w:t>
      </w:r>
    </w:p>
    <w:p w14:paraId="75DCAACC"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(7) Change in the Fund’s investment objective, scope, or strategy (unless otherwise stipulated by laws and regulations, the Fund Contract, or the CSRC).</w:t>
      </w:r>
    </w:p>
    <w:p w14:paraId="2D913B83"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(8) A change in the procedures of the Fund Unitholders' meeting.</w:t>
      </w:r>
    </w:p>
    <w:p w14:paraId="37A4DD8B"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(9) Any other matter that materially affects the rights and obligations of the Parties to the Fund Contract.</w:t>
      </w:r>
    </w:p>
    <w:p w14:paraId="4AD3E5E0"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(10) Any other matter requiring a Fund Unitholders' meeting as stipulated by laws and regulations, the Fund Contract, or the CSRC.</w:t>
      </w:r>
    </w:p>
    <w:p w14:paraId="3E26AE0C"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The following matters may be amended through consultation between the Fund Manager and the Fund Custodian without convening a Fund Unitholders' meeting:</w:t>
      </w:r>
    </w:p>
    <w:p w14:paraId="6CEFDCDF"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Lowering the fund management fees, fund custody fees, or other expenses payable from the Fund Property.</w:t>
      </w:r>
    </w:p>
    <w:p w14:paraId="48F94109"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The introduction of additional fund fees required by laws and regulations.</w:t>
      </w:r>
    </w:p>
    <w:p w14:paraId="1D40D103"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The addition, removal, or adjustment of the Fund’s unit class structure, or adjustments to the Fund’s creation or redemption fee rates or fee structures, provided there is no material adverse impact on the interests of existing Fund Unitholders.</w:t>
      </w:r>
    </w:p>
    <w:p w14:paraId="5A9F124A" w14:textId="77777777" w:rsidR="002E6645" w:rsidRPr="000D3C71" w:rsidRDefault="00953439">
      <w:pPr>
        <w:pStyle w:val="af6"/>
        <w:rPr>
          <w:rFonts w:ascii="Arial" w:hAnsi="Arial" w:cs="Arial"/>
        </w:rPr>
      </w:pPr>
      <w:r w:rsidRPr="000D3C71">
        <w:rPr>
          <w:rFonts w:ascii="Arial" w:hAnsi="Arial" w:cs="Arial"/>
          <w:lang w:val="en"/>
        </w:rPr>
        <w:t>(4) The launch of new business lines or services for the Fund, provided this does not contravene any laws or regulations.</w:t>
      </w:r>
    </w:p>
    <w:p w14:paraId="238D958C" w14:textId="77777777" w:rsidR="002E6645" w:rsidRPr="000D3C71" w:rsidRDefault="00953439">
      <w:pPr>
        <w:pStyle w:val="af6"/>
        <w:rPr>
          <w:rFonts w:ascii="Arial" w:hAnsi="Arial" w:cs="Arial"/>
        </w:rPr>
      </w:pPr>
      <w:r w:rsidRPr="000D3C71">
        <w:rPr>
          <w:rFonts w:ascii="Arial" w:hAnsi="Arial" w:cs="Arial"/>
          <w:lang w:val="en"/>
        </w:rPr>
        <w:t>(5) Adjustments by the Fund Manager, stock exchange, sales agencies, or Registration and Clearing Agency to business rules relating to subscription, creation, redemption, trading, transfers of custody, income distribution, or non-trading transfers, provided such adjustments fall within the permissible scope and do not contravene applicable laws and regulations or the Fund Contract.</w:t>
      </w:r>
    </w:p>
    <w:p w14:paraId="09AEEE95" w14:textId="77777777" w:rsidR="002E6645" w:rsidRPr="000D3C71" w:rsidRDefault="00953439">
      <w:pPr>
        <w:pStyle w:val="af6"/>
        <w:rPr>
          <w:rFonts w:ascii="Arial" w:hAnsi="Arial" w:cs="Arial"/>
        </w:rPr>
      </w:pPr>
      <w:r w:rsidRPr="000D3C71">
        <w:rPr>
          <w:rFonts w:ascii="Arial" w:hAnsi="Arial" w:cs="Arial"/>
          <w:lang w:val="en"/>
        </w:rPr>
        <w:t>(6) Adjustments to the Fund’s creation and redemption methods (such as adding over-the-counter creation/redemption), or to the composition of creation and redemption consideration, provided these do not violate laws and regulations.</w:t>
      </w:r>
    </w:p>
    <w:p w14:paraId="170391FD" w14:textId="77777777" w:rsidR="002E6645" w:rsidRPr="000D3C71" w:rsidRDefault="00953439">
      <w:pPr>
        <w:pStyle w:val="af6"/>
        <w:rPr>
          <w:rFonts w:ascii="Arial" w:hAnsi="Arial" w:cs="Arial"/>
        </w:rPr>
      </w:pPr>
      <w:r w:rsidRPr="000D3C71">
        <w:rPr>
          <w:rFonts w:ascii="Arial" w:hAnsi="Arial" w:cs="Arial"/>
          <w:lang w:val="en"/>
        </w:rPr>
        <w:t>(7) Adjustments to the timing or frequency of calculating and disclosing the NAV per Unit or the PCF, provided such adjustments do not violate laws and regulations.</w:t>
      </w:r>
    </w:p>
    <w:p w14:paraId="7F0451CD" w14:textId="77777777" w:rsidR="002E6645" w:rsidRPr="000D3C71" w:rsidRDefault="00953439">
      <w:pPr>
        <w:pStyle w:val="af6"/>
        <w:rPr>
          <w:rFonts w:ascii="Arial" w:hAnsi="Arial" w:cs="Arial"/>
        </w:rPr>
      </w:pPr>
      <w:r w:rsidRPr="000D3C71">
        <w:rPr>
          <w:rFonts w:ascii="Arial" w:hAnsi="Arial" w:cs="Arial"/>
          <w:lang w:val="en"/>
        </w:rPr>
        <w:t>(8) Participation by the Fund’s feeder fund(s) in the Fund’s creations and redemptions through other methods, provided such participation does not violate laws and regulations.</w:t>
      </w:r>
    </w:p>
    <w:p w14:paraId="63C31CD5"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(9) Amendments to the Fund Contract required by changes in applicable laws and regulations.</w:t>
      </w:r>
    </w:p>
    <w:p w14:paraId="4F35FEDB"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(10) Amendments to the Fund Contract that do not materially adversely affect the interests of Fund Unitholders or do not involve any alteration of the rights and obligations of the Parties to the Fund Contract.</w:t>
      </w:r>
    </w:p>
    <w:p w14:paraId="657EEB7A"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(11) Other circumstances under which a Fund Unitholders' meeting is not required, as provided by laws and regulations and the Fund Contract.</w:t>
      </w:r>
    </w:p>
    <w:p w14:paraId="511C91F1"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(II) Convener and Method of Convening</w:t>
      </w:r>
    </w:p>
    <w:p w14:paraId="5017B699"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Unless otherwise stipulated by laws and regulations or the Fund Contract, the Fund Unitholders' meeting shall be convened by the Fund Manager.</w:t>
      </w:r>
    </w:p>
    <w:p w14:paraId="38C4E293"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If the Fund Manager fails or is unable to convene the meeting as required, it shall be convened by the Fund Custodian.</w:t>
      </w:r>
    </w:p>
    <w:p w14:paraId="7434F6D1"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If the Fund Custodian deems it necessary to convene a Fund Unitholders' meeting, it shall submit a written proposal to the Fund Manager. The Fund Manager shall, within 10 days of receipt of the proposal, decide whether to convene the meeting and notify the Fund Custodian in writing. If the Fund Manager decides to convene, the meeting shall be held within 60 days of the written decision. If the Fund Manager decides not to convene and the Fund Custodian still deems it necessary, the Fund Custodian shall convene the meeting itself.</w:t>
      </w:r>
    </w:p>
    <w:p w14:paraId="2EEDB2D4"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If Fund Unitholders representing 10% or more (inclusive) of total Fund Units make a written request regarding the same matter to convene a Fund Unitholders' meeting, they shall submit a written proposal to the Fund Manager. The Fund Manager shall decide whether to convene the meeting within 10 days of receiving the written proposal and notify both the representative of the proposing Fund Unitholders and the Fund Custodian in writing. If the Fund Manager decides to convene, the meeting shall be held within 60 days of the written decision. If the Fund Manager decides not to convene and Fund Unitholders representing 10% or more of total Fund Units still deem it necessary, they shall submit a written proposal to the Fund Custodian. The Fund Custodian shall then decide within 10 days whether to convene and inform both the proposing Unitholder representative and the Fund Manager in writing. If the Fund Custodian decides to convene, the meeting shall be held within 60 days of the written decision.</w:t>
      </w:r>
    </w:p>
    <w:p w14:paraId="6FF22F14"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5. If Fund Unitholders representing 10% or more (inclusive) of total Fund Units request that a meeting be convened, and neither the Fund Manager nor the Fund Custodian does so, the Fund Unitholders, individually or jointly, representing 10% or more of total Fund Units, shall have the right to convene the meeting themselves and shall file a report with the CSRC at least 30 days in advance. When Fund Unitholders lawfully convene a meeting themselves, the Fund Manager and Fund Custodian shall cooperate and shall not obstruct or interfere.</w:t>
      </w:r>
    </w:p>
    <w:p w14:paraId="3904F7B8"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6. The convener of the Fund Unitholders' meeting is responsible for determining the meeting’s time, venue, format, and record date for determining unitholder rights.</w:t>
      </w:r>
    </w:p>
    <w:p w14:paraId="0EA02597"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(III) Notice Period, Content, and Method</w:t>
      </w:r>
    </w:p>
    <w:p w14:paraId="30CEB9DE"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When convening a Fund Unitholders' meeting, the convener shall publish a notice on the designated media at least 30 days prior to the meeting date. The notice shall include at a minimum:</w:t>
      </w:r>
    </w:p>
    <w:p w14:paraId="05BD5357"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The time, place, and format of the meeting.</w:t>
      </w:r>
    </w:p>
    <w:p w14:paraId="4B32F457"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The matters to be considered, the agenda, and the voting method.</w:t>
      </w:r>
    </w:p>
    <w:p w14:paraId="7CD48F3C"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The record date for determining Fund Unitholders entitled to attend.</w:t>
      </w:r>
    </w:p>
    <w:p w14:paraId="0187E4A4"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Requirements for proxy authorizations (including, but not limited to, the proxy’s identity, scope of authority, and validity period), as well as the submission deadline and address.</w:t>
      </w:r>
    </w:p>
    <w:p w14:paraId="555B1429"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(5) The name and contact telephone number of the meeting’s standing contact person.</w:t>
      </w:r>
    </w:p>
    <w:p w14:paraId="222145A9"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(6) The documents required for attendance and procedures to be followed.</w:t>
      </w:r>
    </w:p>
    <w:p w14:paraId="717A1E63"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(7) Any other information deemed necessary by the convener.</w:t>
      </w:r>
    </w:p>
    <w:p w14:paraId="74ECAC6E"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For a meeting held by correspondence with voting, the convener shall specify in the notice the method of correspondence, the entrusted notary office and its contact details, and the deadline and method for collecting written votes.</w:t>
      </w:r>
    </w:p>
    <w:p w14:paraId="369FEA87"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If the convener is the Fund Manager, it shall separately notify the Fund Custodian in writing to supervise the vote count at a designated location. If the convener is the Fund Custodian, it shall correspondingly notify the Fund Manager in writing to supervise the vote count at a designated location. If the convener is a Fund Unitholder, it shall separately notify both the Fund Manager and the Fund Custodian in writing to supervise the vote count at a designated location. The refusal of the Fund Manager or Fund Custodian to send representatives to supervise the vote count shall not affect the validity of the vote count.</w:t>
      </w:r>
    </w:p>
    <w:p w14:paraId="2FF50C8B"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(IV) Methods of Attendance</w:t>
      </w:r>
    </w:p>
    <w:p w14:paraId="66EEFF9E"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A Fund Unitholders' meeting may be held in person or by correspondence. The format shall be determined by the convener.</w:t>
      </w:r>
    </w:p>
    <w:p w14:paraId="79D14968"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In-person Meeting. An in-person meeting is attended by Fund Unitholders directly or through proxies appointed by written authorization. Authorized representatives of the Fund Manager and Fund Custodian shall attend the Fund Unitholders' meeting as non-voting participants. Their absence does not affect the validity of any resolution passed. An in-person meeting may proceed if the following conditions are met:</w:t>
      </w:r>
    </w:p>
    <w:p w14:paraId="6CFA0208"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The proof of holding Fund Units submitted by those attending in person and the proof of the principal's holding of Fund Units and proxy authorization submitted by proxies comply with laws and regulations, the Fund Contract, and the meeting notice, and the proof of holding Fund Units matches the registration data maintained by the Fund Manager.</w:t>
      </w:r>
    </w:p>
    <w:p w14:paraId="4E2CD26F"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Upon verification, the total number of valid Fund Units represented by attendees as of the record date equals or exceeds 50% (inclusive) of the total Fund Units outstanding as of that date.</w:t>
      </w:r>
    </w:p>
    <w:p w14:paraId="2891CAF6"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Meeting by Correspondence. This refers to a meeting at which Fund Unitholders deliver their votes in writing to the convener’s designated address prior to the voting deadline. Voting at such a meeting shall be conducted in writing.</w:t>
      </w:r>
    </w:p>
    <w:p w14:paraId="7C2402A6"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meeting shall be deemed valid when all of the following conditions are satisfied:</w:t>
      </w:r>
    </w:p>
    <w:p w14:paraId="0C869EDB"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The convener publishes the meeting notice in accordance with the Fund Contract and issues related indicative announcements over two consecutive business days thereafter.</w:t>
      </w:r>
    </w:p>
    <w:p w14:paraId="2388F779"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The convener notifies the Fund Custodian and/or Fund Manager (collectively or individually referred to as the “Supervisors”) to oversee the counting of written votes at a designated location.</w:t>
      </w:r>
    </w:p>
    <w:p w14:paraId="588AB479"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The convener collects the written votes of Fund Unitholders under the supervision of the Supervisors and a notary office; the refusal of the Fund Manager or Fund Custodian to attend and supervise after being notified shall not affect the validity of the vote collection.</w:t>
      </w:r>
    </w:p>
    <w:p w14:paraId="5C3A65CA" w14:textId="77777777" w:rsidR="002E6645" w:rsidRPr="000D3C71" w:rsidRDefault="00953439">
      <w:pPr>
        <w:pStyle w:val="affd"/>
        <w:spacing w:line="360" w:lineRule="auto"/>
        <w:ind w:firstLineChars="225" w:firstLine="473"/>
        <w:rPr>
          <w:rFonts w:ascii="Arial" w:hAnsi="Arial" w:cs="Arial"/>
          <w:bCs/>
          <w:szCs w:val="21"/>
        </w:rPr>
      </w:pPr>
      <w:r w:rsidRPr="000D3C71">
        <w:rPr>
          <w:rFonts w:ascii="Arial" w:hAnsi="Arial" w:cs="Arial"/>
          <w:szCs w:val="21"/>
          <w:lang w:val="en"/>
        </w:rPr>
        <w:t>(4) The total Fund Units represented by Unitholders submitting written votes directly or through authorized proxies equals or exceeds 50% (inclusive) of total Fund Units outstanding as of the record date.</w:t>
      </w:r>
    </w:p>
    <w:p w14:paraId="475FDC6F"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(5) The proof of holding Fund Units submitted by Fund Unitholders voting directly, and the proof of the principal's holding of Fund Units and proxy authorization submitted by proxies, comply with laws and regulations, the Fund Contract, and the meeting notice.</w:t>
      </w:r>
    </w:p>
    <w:p w14:paraId="4398774D"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(6) The meeting notice must be filed with the CSRC prior to its publication.</w:t>
      </w:r>
    </w:p>
    <w:p w14:paraId="4B258ACE"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Where permitted by laws and regulations or regulatory authorities and specified in the meeting notice, Fund Unitholders may also vote or authorize proxies through online, telephone, or other means.</w:t>
      </w:r>
    </w:p>
    <w:p w14:paraId="7A4AE5C3"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 Agenda and Procedures</w:t>
      </w:r>
    </w:p>
    <w:p w14:paraId="265D5D62"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Agenda and Right to Propose Motions</w:t>
      </w:r>
    </w:p>
    <w:p w14:paraId="66D42FAC"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agenda items shall cover major matters affecting the interests of Fund Unitholders, such as decisions to terminate the Fund Contract, replace the Fund Manager or Fund Custodian, other matters stipulated by laws and regulations or the Fund Contract, as well as any other matters that the meeting convener deems necessary to submit to the Fund Unitholders' meeting for consideration.</w:t>
      </w:r>
    </w:p>
    <w:p w14:paraId="7535C6BA"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After the convener issues the meeting notice, any amendments to original proposals shall be announced promptly before the meeting is held.</w:t>
      </w:r>
    </w:p>
    <w:p w14:paraId="2B15C755"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A Fund Unitholders' meeting shall not vote on any matter not previously announced.</w:t>
      </w:r>
    </w:p>
    <w:p w14:paraId="7D8CC1CC"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Procedures</w:t>
      </w:r>
    </w:p>
    <w:p w14:paraId="1BF3989C"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In-person Meeting</w:t>
      </w:r>
    </w:p>
    <w:p w14:paraId="6B3268EB"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At an in-person meeting, the chairperson shall first determine and announce the scrutineers in accordance with the procedures stipulated in Section (VII) below. The chairperson shall then present the proposals, which shall be discussed and put to a vote, whereupon a resolution of the meeting will be formed. The chairperson shall be the representative authorized by the Fund Manager to attend the meeting. If such authorized representative is unable to preside, the Fund Custodian’s authorized representative shall act as chairperson. If both are unable to preside, the attending Fund Unitholders and their proxies shall, by a vote representing 50% or more (inclusive) of their combined voting rights, elect a Fund Unitholder to serve as chairperson for that meeting. The refusal of the Fund Manager or Fund Custodian to attend or preside over a meeting shall not affect the validity of any resolution passed at the meeting.</w:t>
      </w:r>
    </w:p>
    <w:p w14:paraId="07EFEDD2"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convener shall prepare an attendance register, listing each attendee’s name (or entity name), identification document number, Fund Units held or represented with voting rights, the principal’s name (or entity name), and contact details.</w:t>
      </w:r>
    </w:p>
    <w:p w14:paraId="1A833AE0"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Meeting by Correspondence</w:t>
      </w:r>
    </w:p>
    <w:p w14:paraId="377675F2"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lang w:val="en"/>
        </w:rPr>
        <w:t>Where the meeting is held by correspondence, the convener shall announce the proposals 30 days in advance. Within two business days after the voting deadline, the convener shall, under the supervision of a notary office and the Supervisor(s), count all valid votes and form a resolution. If any Supervisor, after being duly notified, refuses to be present for supervision, a resolution formed under the notary's supervision shall remain valid.</w:t>
      </w:r>
    </w:p>
    <w:p w14:paraId="5697A532"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(VI) Voting</w:t>
      </w:r>
    </w:p>
    <w:p w14:paraId="12A958AB"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Each Fund Unit held by a Fund Unitholder carries one vote.</w:t>
      </w:r>
    </w:p>
    <w:p w14:paraId="05BB4203"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Resolutions of a Fund Unitholders' meeting are classified as ordinary resolutions and special resolutions:</w:t>
      </w:r>
    </w:p>
    <w:p w14:paraId="7BE00ECE"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Ordinary Resolution. An ordinary resolution shall be valid only if passed by 50% or more of the voting rights held by the Fund Unitholders (or their proxies) attending the meeting. All matters other than those requiring a special resolution as specified below shall be adopted by an ordinary resolution.</w:t>
      </w:r>
    </w:p>
    <w:p w14:paraId="5DA4EAFF"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Special Resolution. A special resolution shall be valid only if passed by two-thirds or more (inclusive) of the voting rights held by the Fund Unitholders or their proxies attending the meeting. Changing the Fund’s mode of operation, replacing the Fund Manager or Fund Custodian, or terminating the Fund Contract shall only take effect upon adoption by special resolution.</w:t>
      </w:r>
    </w:p>
    <w:p w14:paraId="1AD823B6"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Voting at a Fund Unitholders' meeting shall be conducted by recorded vote.</w:t>
      </w:r>
    </w:p>
    <w:p w14:paraId="70DEC63F"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When voting is conducted by correspondence, and absent sufficient contrary evidence at the time of vote counting, a submitted vote accompanied by identity documents meeting the requirements of the meeting notice shall be deemed validly cast by an attending investor. A written vote that appears to comply on its face with the meeting notice shall be deemed a valid vote. Votes that are unclear or contradictory shall be treated as abstentions but shall still be included in the total number of Fund Units represented by the Fund Unitholders who submitted written opinions.</w:t>
      </w:r>
    </w:p>
    <w:p w14:paraId="2D684384"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Each proposal or each sub-item within a single proposal shall be considered and voted upon separately.</w:t>
      </w:r>
    </w:p>
    <w:p w14:paraId="13F2F6B2"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(VII) Vote Counting</w:t>
      </w:r>
    </w:p>
    <w:p w14:paraId="6AEED909"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In-person Meeting</w:t>
      </w:r>
    </w:p>
    <w:p w14:paraId="68092E52"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If the meeting is convened by the Fund Manager or Fund Custodian, the chairperson shall, after the meeting opens, announce the election of two Fund Unitholder representatives from among those present and their proxies to serve as scrutineers, together with one supervisor authorized by the convener. If the meeting is convened by Fund Unitholders, the chairperson shall nominate two Fund Unitholder representatives from among the attending Fund Unitholders and the proxies of absent Unitholders to serve as scrutineers, together with one supervisor appointed by the Fund Manager and Fund Custodian; however, if neither the Fund Manager nor Fund Custodian is in attendance, the chairperson shall announce after the meeting opens the election of three Fund Unitholder representatives from among those present to serve as scrutineers. The absence of the Fund Manager or Fund Custodian shall not affect the validity of the vote count.</w:t>
      </w:r>
    </w:p>
    <w:p w14:paraId="4342E9F6"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The scrutineers shall immediately count the votes after voting concludes, and the chairperson shall announce the results on the spot.</w:t>
      </w:r>
    </w:p>
    <w:p w14:paraId="79166AF7"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If the chairperson, any Fund Unitholder, or proxy doubts the voting results, they may request a recount immediately after the announcement. The scrutineers shall conduct a single recount, after which the chairperson shall announce the recount results on site.</w:t>
      </w:r>
    </w:p>
    <w:p w14:paraId="6C127572"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Meeting by Correspondence</w:t>
      </w:r>
    </w:p>
    <w:p w14:paraId="1B309006"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In a meeting held by correspondence, vote counting shall be conducted by two tellers authorized by the convener under the supervision of a representative appointed by the Supervisor(s), and the entire vote-counting process shall be notarized by a notary office. The refusal of the Supervisor(s) to send representatives to supervise the counting of written votes after being notified shall not affect the validity of the count or the voting results.</w:t>
      </w:r>
    </w:p>
    <w:p w14:paraId="31120887"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(VIII) Effectiveness and Announcement</w:t>
      </w:r>
    </w:p>
    <w:p w14:paraId="1BDDEE6C"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Resolutions of the Fund Unitholders' meeting shall be submitted by the convener to the CSRC for approval or filing within five days from the date of adoption.</w:t>
      </w:r>
    </w:p>
    <w:p w14:paraId="2C1074BC"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Such resolutions shall become effective on the date the CSRC lawfully grants its approval or issues a no-objection letter.</w:t>
      </w:r>
    </w:p>
    <w:p w14:paraId="0E5B1F6D"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Resolutions shall be announced on the designated media within two business days of receiving the CSRC’s approval or no-objection letter. Where voting was conducted by correspondence, the full text of the notarization certificate, the name of the notary office, and the name of the notary must be disclosed along with the meeting resolution.</w:t>
      </w:r>
    </w:p>
    <w:p w14:paraId="58D144E1"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Manager, Fund Custodian, and Fund Unitholders shall implement the effective resolutions. An effective resolution of a Fund Unitholders' meeting is binding on all Fund Unitholders, the Fund Manager, and the Fund Custodian.</w:t>
      </w:r>
    </w:p>
    <w:p w14:paraId="6F4C52FD" w14:textId="77777777" w:rsidR="002E6645" w:rsidRPr="000D3C71" w:rsidRDefault="00953439">
      <w:pPr>
        <w:pStyle w:val="af6"/>
        <w:rPr>
          <w:rFonts w:ascii="Arial" w:hAnsi="Arial" w:cs="Arial"/>
        </w:rPr>
      </w:pPr>
      <w:r w:rsidRPr="000D3C71">
        <w:rPr>
          <w:rFonts w:ascii="Arial" w:hAnsi="Arial" w:cs="Arial"/>
          <w:lang w:val="en"/>
        </w:rPr>
        <w:t>(IX) Exercise of Voting Rights for Fund Units Held by Feeder Fund(s)</w:t>
      </w:r>
    </w:p>
    <w:p w14:paraId="5E189949"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lang w:val="en"/>
        </w:rPr>
        <w:t>If the Fund establishes feeder fund(s), given the correlation between this Fund and its feeder fund(s), the unitholders of a feeder fund may exercise rights relating to this Fund—including the right to convene or directly vote at a Fund Unitholders' meeting—based on the feeder fund units they hold. For quorum and vote counting purposes, the number of participating units and votes of a feeder fund’s unitholders shall be calculated pro rata based on the number of this Fund's Units held by the feeder fund on the record date and the proportion of feeder fund units held by that unitholder to the total outstanding feeder fund units.</w:t>
      </w:r>
    </w:p>
    <w:p w14:paraId="70BD7C94" w14:textId="77777777" w:rsidR="002E6645" w:rsidRPr="000D3C71" w:rsidRDefault="00953439">
      <w:pPr>
        <w:pStyle w:val="affd"/>
        <w:spacing w:line="360" w:lineRule="auto"/>
        <w:ind w:firstLineChars="200" w:firstLine="420"/>
        <w:rPr>
          <w:rFonts w:ascii="Arial" w:hAnsi="Arial" w:cs="Arial"/>
          <w:szCs w:val="18"/>
        </w:rPr>
      </w:pPr>
      <w:r w:rsidRPr="000D3C71">
        <w:rPr>
          <w:rFonts w:ascii="Arial" w:hAnsi="Arial" w:cs="Arial"/>
          <w:lang w:val="en"/>
        </w:rPr>
        <w:t>(X) If laws, regulations, or regulatory authorities prescribe otherwise regarding Fund Unitholders' meetings, such provisions shall prevail.</w:t>
      </w:r>
    </w:p>
    <w:p w14:paraId="30612BA8" w14:textId="77777777" w:rsidR="002E6645" w:rsidRPr="000D3C71" w:rsidRDefault="00953439">
      <w:pPr>
        <w:pStyle w:val="affd"/>
        <w:spacing w:line="360" w:lineRule="auto"/>
        <w:ind w:firstLineChars="200" w:firstLine="420"/>
        <w:jc w:val="left"/>
        <w:rPr>
          <w:rFonts w:ascii="Arial" w:hAnsi="Arial" w:cs="Arial"/>
          <w:bCs/>
        </w:rPr>
      </w:pPr>
      <w:r w:rsidRPr="000D3C71">
        <w:rPr>
          <w:rFonts w:ascii="Arial" w:hAnsi="Arial" w:cs="Arial"/>
          <w:lang w:val="en"/>
        </w:rPr>
        <w:t>XX. Amendment, Termination of the Fund Contract, and Liquidation of Fund Property</w:t>
      </w:r>
    </w:p>
    <w:p w14:paraId="1AD4A978"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(II) Grounds for Termination of the Fund Contract</w:t>
      </w:r>
    </w:p>
    <w:p w14:paraId="6B762779"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Fund Contract shall terminate under any of the following circumstances:</w:t>
      </w:r>
    </w:p>
    <w:p w14:paraId="2ED546B8"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A resolution for termination is passed at the Fund Unitholders' meeting.</w:t>
      </w:r>
    </w:p>
    <w:p w14:paraId="4706BAC3"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The duties of the Fund Manager or the Fund Custodian are terminated, and no new Fund Manager or new Fund Custodian is appointed to succeed them within six months.</w:t>
      </w:r>
    </w:p>
    <w:p w14:paraId="6837B456"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Other circumstances as stipulated in the Fund Contract.</w:t>
      </w:r>
    </w:p>
    <w:p w14:paraId="3C0E3DDB"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Other circumstances as prescribed by the relevant laws and regulations and the CSRC.</w:t>
      </w:r>
    </w:p>
    <w:p w14:paraId="0967C2A5"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(III) Liquidation of Fund Property</w:t>
      </w:r>
    </w:p>
    <w:p w14:paraId="6CA2DD60"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Fund Property Liquidation Committee: A Fund Property Liquidation Committee shall be established within thirty business days from the date a cause for termination of the Fund Contract arises. The Fund Manager shall form the Fund Property Liquidation Committee and conduct the liquidation under the supervision of the CSRC.</w:t>
      </w:r>
    </w:p>
    <w:p w14:paraId="3F1396DF"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Composition: The Fund Property Liquidation Committee shall consist of the Fund Manager, the Fund Custodian, certified public accountants and lawyers qualified to engage in securities-related business, and personnel designated by the CSRC. The Fund Property Liquidation Committee may hire necessary staff.</w:t>
      </w:r>
    </w:p>
    <w:p w14:paraId="6D8FD189"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Duties: The Fund Property Liquidation Committee shall be responsible for the safekeeping, inventory, valuation, realization, and distribution of the Fund Property, and may, in accordance with the law, undertake necessary civil acts.</w:t>
      </w:r>
    </w:p>
    <w:p w14:paraId="41665D85"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Liquidation Procedures:</w:t>
      </w:r>
    </w:p>
    <w:p w14:paraId="0F1E8EC3"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(1) Upon the occurrence of any grounds for termination under the Fund Contract, the Fund Property Liquidation Committee shall assume control of the Fund.</w:t>
      </w:r>
    </w:p>
    <w:p w14:paraId="22578158"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(2) Identify and confirm the Fund Property, claims, and liabilities.</w:t>
      </w:r>
    </w:p>
    <w:p w14:paraId="1209D0C8"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(3) Value and realize the Fund Property.</w:t>
      </w:r>
    </w:p>
    <w:p w14:paraId="1D9B4AE5"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(4) Prepare a liquidation report.</w:t>
      </w:r>
    </w:p>
    <w:p w14:paraId="6994FC8B"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(5) Engage an accounting firm to perform an external audit of the liquidation report and a law firm to issue a legal opinion on the report.</w:t>
      </w:r>
    </w:p>
    <w:p w14:paraId="13A95A08"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(6) File the liquidation report with the CSRC for record and announce it on the designated media.</w:t>
      </w:r>
    </w:p>
    <w:p w14:paraId="62EFB035"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(7) Distribute the Fund Property.</w:t>
      </w:r>
    </w:p>
    <w:p w14:paraId="2047D026"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(IV) Liquidation Expenses</w:t>
      </w:r>
    </w:p>
    <w:p w14:paraId="7E09150C"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Liquidation expenses refer to all reasonable costs incurred by the Fund Property Liquidation Committee during the liquidation process. Such expenses shall be paid out of the Fund Property on a priority basis.</w:t>
      </w:r>
    </w:p>
    <w:p w14:paraId="3D7965FF"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 Distribution of Remaining Assets after Liquidation of Fund Property</w:t>
      </w:r>
    </w:p>
    <w:p w14:paraId="754AAC31"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In accordance with the liquidation distribution plan, all remaining Property, after deducting liquidation expenses, paying all taxes owed, and settling all Fund liabilities, shall be distributed to Fund Unitholders in proportion to the Fund Units they hold.</w:t>
      </w:r>
    </w:p>
    <w:p w14:paraId="4CBCDBB8"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(VI) Announcements Regarding Liquidation of Fund Property</w:t>
      </w:r>
    </w:p>
    <w:p w14:paraId="04460EDE"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Any material matters arising during the liquidation process shall be announced promptly. The liquidation report, after being audited by an accounting firm and with a legal opinion issued by a law firm, shall be filed with the CSRC for record and announced. The announcement of the liquidation report shall be made by the Fund Property Liquidation Committee within five business days of the report being filed with the CSRC.</w:t>
      </w:r>
    </w:p>
    <w:p w14:paraId="0EB51924"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(VII) Retention of Liquidation Books and Documents</w:t>
      </w:r>
    </w:p>
    <w:p w14:paraId="54924049" w14:textId="77777777" w:rsidR="002E6645" w:rsidRPr="000D3C71" w:rsidRDefault="00953439">
      <w:pPr>
        <w:pStyle w:val="affd"/>
        <w:spacing w:line="360" w:lineRule="auto"/>
        <w:ind w:firstLineChars="200" w:firstLine="420"/>
        <w:rPr>
          <w:rFonts w:ascii="Arial" w:hAnsi="Arial" w:cs="Arial"/>
          <w:b/>
          <w:bCs/>
        </w:rPr>
      </w:pPr>
      <w:r w:rsidRPr="000D3C71">
        <w:rPr>
          <w:rFonts w:ascii="Arial" w:hAnsi="Arial" w:cs="Arial"/>
          <w:szCs w:val="21"/>
          <w:lang w:val="en"/>
        </w:rPr>
        <w:t>The accounting books and related documents from the Fund Property liquidation shall be retained by the Fund Custodian for no less than 15 years.</w:t>
      </w:r>
    </w:p>
    <w:p w14:paraId="09B911EE" w14:textId="77777777" w:rsidR="002E6645" w:rsidRPr="000D3C71" w:rsidRDefault="00953439">
      <w:pPr>
        <w:pStyle w:val="affd"/>
        <w:spacing w:line="360" w:lineRule="auto"/>
        <w:ind w:firstLineChars="200" w:firstLine="420"/>
        <w:jc w:val="left"/>
        <w:rPr>
          <w:rFonts w:ascii="Arial" w:hAnsi="Arial" w:cs="Arial"/>
          <w:bCs/>
        </w:rPr>
      </w:pPr>
      <w:r w:rsidRPr="000D3C71">
        <w:rPr>
          <w:rFonts w:ascii="Arial" w:hAnsi="Arial" w:cs="Arial"/>
          <w:lang w:val="en"/>
        </w:rPr>
        <w:t>XXII. Dispute Resolution and Applicable Law</w:t>
      </w:r>
    </w:p>
    <w:p w14:paraId="1BF19009" w14:textId="77777777" w:rsidR="002E6645" w:rsidRPr="000D3C71" w:rsidRDefault="00953439">
      <w:pPr>
        <w:pStyle w:val="affd"/>
        <w:spacing w:line="360" w:lineRule="auto"/>
        <w:ind w:firstLineChars="200" w:firstLine="420"/>
        <w:rPr>
          <w:rFonts w:ascii="Arial" w:hAnsi="Arial" w:cs="Arial"/>
          <w:bCs/>
          <w:szCs w:val="21"/>
        </w:rPr>
      </w:pPr>
      <w:r w:rsidRPr="000D3C71">
        <w:rPr>
          <w:rFonts w:ascii="Arial" w:hAnsi="Arial" w:cs="Arial"/>
          <w:szCs w:val="21"/>
          <w:lang w:val="en"/>
        </w:rPr>
        <w:t>The parties hereto agree that any and all disputes arising from or in connection with the Fund Contract which cannot be resolved through amicable consultation shall be submitted to the China International Economic and Trade Arbitration Commission (CIETAC) for arbitration in accordance with its then-effective arbitration rules. The place of arbitration shall be Beijing. The arbitral award shall be final and binding upon all parties, and the arbitration fees shall be borne by the losing party.</w:t>
      </w:r>
    </w:p>
    <w:p w14:paraId="1D2F6211" w14:textId="77777777" w:rsidR="002E6645" w:rsidRPr="000D3C71" w:rsidRDefault="00953439">
      <w:pPr>
        <w:pStyle w:val="affd"/>
        <w:spacing w:line="360" w:lineRule="auto"/>
        <w:ind w:firstLineChars="200" w:firstLine="420"/>
        <w:rPr>
          <w:rFonts w:ascii="Arial" w:hAnsi="Arial" w:cs="Arial"/>
          <w:b/>
          <w:bCs/>
        </w:rPr>
      </w:pPr>
      <w:r w:rsidRPr="000D3C71">
        <w:rPr>
          <w:rFonts w:ascii="Arial" w:hAnsi="Arial" w:cs="Arial"/>
          <w:szCs w:val="21"/>
          <w:lang w:val="en"/>
        </w:rPr>
        <w:t>The Fund Contract shall be governed by the laws of the People’s Republic of China.</w:t>
      </w:r>
    </w:p>
    <w:p w14:paraId="3DD1F3E0" w14:textId="77777777" w:rsidR="002E6645" w:rsidRPr="000D3C71" w:rsidRDefault="00953439">
      <w:pPr>
        <w:pStyle w:val="affd"/>
        <w:spacing w:line="360" w:lineRule="auto"/>
        <w:ind w:firstLineChars="200" w:firstLine="420"/>
        <w:jc w:val="left"/>
        <w:rPr>
          <w:rFonts w:ascii="Arial" w:hAnsi="Arial" w:cs="Arial"/>
          <w:bCs/>
        </w:rPr>
      </w:pPr>
      <w:r w:rsidRPr="000D3C71">
        <w:rPr>
          <w:rFonts w:ascii="Arial" w:hAnsi="Arial" w:cs="Arial"/>
          <w:lang w:val="en"/>
        </w:rPr>
        <w:t>XXIII. Effectiveness of the Fund Contract</w:t>
      </w:r>
    </w:p>
    <w:p w14:paraId="3A85C014" w14:textId="77777777" w:rsidR="00E5532B"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5. The Fund Contract shall be stored at the registered offices of the Fund Manager and the Fund Custodian. Investors may access it on the websites of the Fund Manager and the Fund Custodian.</w:t>
      </w:r>
    </w:p>
    <w:p w14:paraId="382681BA" w14:textId="77777777" w:rsidR="0081561B"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After the publication of information that must be disclosed by law, the Fund Manager and the Fund Custodian shall, in accordance with the relevant laws and regulations, make such information available at their respective registered offices and at the securities exchange where the Fund is listed for public inspection and copying.</w:t>
      </w:r>
    </w:p>
    <w:p w14:paraId="384B9AD5" w14:textId="77777777" w:rsidR="0081561B" w:rsidRPr="000D3C71" w:rsidRDefault="00953439" w:rsidP="002C372A">
      <w:pPr>
        <w:pStyle w:val="Heading3"/>
        <w:rPr>
          <w:rFonts w:ascii="Arial" w:hAnsi="Arial" w:cs="Arial"/>
        </w:rPr>
      </w:pPr>
      <w:bookmarkStart w:id="154" w:name="_Toc340435605"/>
      <w:bookmarkStart w:id="155" w:name="_Toc340435537"/>
      <w:bookmarkStart w:id="156" w:name="_Toc329633105"/>
      <w:bookmarkStart w:id="157" w:name="_Toc127083935"/>
      <w:bookmarkStart w:id="158" w:name="_Toc211640960"/>
      <w:r w:rsidRPr="000D3C71">
        <w:rPr>
          <w:rFonts w:ascii="Arial" w:hAnsi="Arial" w:cs="Arial"/>
          <w:bCs/>
          <w:lang w:val="en"/>
        </w:rPr>
        <w:t>XXI. Excerpts from the Fund’s Custody Agreement</w:t>
      </w:r>
      <w:bookmarkEnd w:id="154"/>
      <w:bookmarkEnd w:id="155"/>
      <w:bookmarkEnd w:id="156"/>
      <w:bookmarkEnd w:id="157"/>
      <w:bookmarkEnd w:id="158"/>
    </w:p>
    <w:p w14:paraId="477FA430" w14:textId="77777777" w:rsidR="00F06FB6"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following excerpts are taken from the ChinaAMC CSI 300 Index Exchange Traded Fund Custody Agreement:</w:t>
      </w:r>
    </w:p>
    <w:p w14:paraId="06CA91DE" w14:textId="77777777" w:rsidR="00F06FB6"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“I. Parties to the Fund Custody Agreement</w:t>
      </w:r>
    </w:p>
    <w:p w14:paraId="244AAF9E" w14:textId="77777777" w:rsidR="00F06FB6"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(I) Fund Manager</w:t>
      </w:r>
    </w:p>
    <w:p w14:paraId="603FFC31" w14:textId="77777777" w:rsidR="00CC5095" w:rsidRPr="000D3C71" w:rsidRDefault="00953439" w:rsidP="00DF628C">
      <w:pPr>
        <w:pStyle w:val="affd"/>
        <w:spacing w:line="360" w:lineRule="auto"/>
        <w:ind w:firstLineChars="200" w:firstLine="420"/>
        <w:rPr>
          <w:rFonts w:ascii="Arial" w:hAnsi="Arial" w:cs="Arial"/>
          <w:szCs w:val="21"/>
        </w:rPr>
      </w:pPr>
      <w:r w:rsidRPr="000D3C71">
        <w:rPr>
          <w:rFonts w:ascii="Arial" w:hAnsi="Arial" w:cs="Arial"/>
          <w:szCs w:val="21"/>
          <w:lang w:val="en"/>
        </w:rPr>
        <w:t>Name: China Asset Management Co., Ltd.</w:t>
      </w:r>
    </w:p>
    <w:p w14:paraId="11BABBB2" w14:textId="77777777" w:rsidR="00CC5095"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Registered Address: Compound A3, Anqing Street, Shunyi District, Beijing</w:t>
      </w:r>
    </w:p>
    <w:p w14:paraId="43BF519D" w14:textId="77777777" w:rsidR="00CC5095"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Legal Representative: ZHANG Youjun</w:t>
      </w:r>
    </w:p>
    <w:p w14:paraId="1DAAC57C" w14:textId="77777777" w:rsidR="00CC5095"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Date of Establishment: April 9, 1998</w:t>
      </w:r>
    </w:p>
    <w:p w14:paraId="3B66EA88" w14:textId="77777777" w:rsidR="00CC5095"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Approving Authority and Approval Document Number: CSRC ZHENG JIAN JI ZI [1998] No. 16</w:t>
      </w:r>
    </w:p>
    <w:p w14:paraId="76403DFE" w14:textId="77777777" w:rsidR="00CC5095"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Registered Capital: RMB238 million</w:t>
      </w:r>
    </w:p>
    <w:p w14:paraId="19972A45" w14:textId="77777777" w:rsidR="00CC5095"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Form of Organization: Limited Liability Company</w:t>
      </w:r>
    </w:p>
    <w:p w14:paraId="573D493F" w14:textId="77777777" w:rsidR="00CC5095"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Term: 100 years</w:t>
      </w:r>
    </w:p>
    <w:p w14:paraId="652FC7DB"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(II) Fund Custodian</w:t>
      </w:r>
    </w:p>
    <w:p w14:paraId="751311D2"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Name: Industrial and Commercial Bank of China Limited</w:t>
      </w:r>
    </w:p>
    <w:p w14:paraId="779F8964"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Registered Address: 55 Fuxingmennei Street, Xicheng District, Beijing (100032)</w:t>
      </w:r>
    </w:p>
    <w:p w14:paraId="3E66B4F1"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Legal Representative: LIAO Lin</w:t>
      </w:r>
      <w:bookmarkStart w:id="159" w:name="_Hlk179302949"/>
      <w:bookmarkEnd w:id="159"/>
    </w:p>
    <w:p w14:paraId="053865E2"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Telephone: 010-66105799</w:t>
      </w:r>
    </w:p>
    <w:p w14:paraId="5FA94AE5"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Fax: 010-66105798</w:t>
      </w:r>
    </w:p>
    <w:p w14:paraId="7CAB0B14"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Contact Person: GUO Ming</w:t>
      </w:r>
    </w:p>
    <w:p w14:paraId="48D500F1"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lang w:val="en"/>
        </w:rPr>
        <w:t>Date of Establishment: January 1, 1984</w:t>
      </w:r>
    </w:p>
    <w:p w14:paraId="2E91EF00"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Form of Organization: Joint-Stock Limited Company</w:t>
      </w:r>
    </w:p>
    <w:p w14:paraId="2F8A977C"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lang w:val="en"/>
        </w:rPr>
        <w:t>Registered Capital: RMB356,406,257,089</w:t>
      </w:r>
      <w:bookmarkStart w:id="160" w:name="_Hlk179302961"/>
      <w:bookmarkEnd w:id="160"/>
    </w:p>
    <w:p w14:paraId="72E24AA2"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Approving Authority and Approval Document Number: State Council Decision on the People's Bank of China Exclusively Exercising the Functions of the Central Bank (GUO FA [1983] No. 146)</w:t>
      </w:r>
    </w:p>
    <w:p w14:paraId="6E5619D7"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Term: Perpetual</w:t>
      </w:r>
    </w:p>
    <w:p w14:paraId="782A4A02" w14:textId="77777777" w:rsidR="00F06FB6" w:rsidRPr="000D3C71" w:rsidRDefault="00953439" w:rsidP="00F06FB6">
      <w:pPr>
        <w:pStyle w:val="ListParagraph"/>
        <w:spacing w:line="360" w:lineRule="auto"/>
        <w:ind w:firstLineChars="0"/>
        <w:rPr>
          <w:rFonts w:ascii="Arial" w:hAnsi="Arial" w:cs="Arial"/>
          <w:b/>
          <w:bCs/>
        </w:rPr>
      </w:pPr>
      <w:r w:rsidRPr="000D3C71">
        <w:rPr>
          <w:rFonts w:ascii="Arial" w:hAnsi="Arial" w:cs="Arial"/>
          <w:lang w:val="en"/>
        </w:rPr>
        <w:t xml:space="preserve">Business Scope: Deposits in RMB, loans and interbank lending; the settlement of both domestic and overseas accounts; the acceptance, discount, inter-bank discount and various exchange business of negotiable instruments; capital settlement as an agent; provision of the letter of credit (L/C) service and guarantee; sales business, issuance, underwriting and acceptance of governmental bonds as an agent; fee-based business; settlement activities (bank-securities transfer) of securities investment fund as an agent; insurance business as an agent, loan business of policy banks, foreign governments and international financial institutions as an agent; safe deposit box services; issuance of financial bonds; purchase and selling of governmental bonds and financial bonds; custody business of securities investment fund and enterprise annuity; fiduciary management business of enterprise annuity; management services of enterprise annuity accounts; registration, subscription, purchase and redemption business of open-ended funds; credit reference, advisory and attestation services; loan commitment; financial consultancy services for enterprises and individuals; organisation or participation in syndicated loans; foreign exchange proceeds deposit; foreign exchange loans; foreign currency exchange; outward collection and inward collection; acceptance and discounting of foreign exchange instrument; foreign exchange borrowings; foreign exchange guarantee; issuance and sales of foreign securities other than shares and their issuance and sales as an agent; proprietary and acting as an agent for foreign exchange trading; foreign exchange financial derivatives; bank card business; telephone banking, Internet banking and mobile banking business; settlement and sales of exchange business; other services approved by the Banking Regulatory Authority under the State Council. </w:t>
      </w:r>
    </w:p>
    <w:p w14:paraId="09662724" w14:textId="77777777" w:rsidR="00F06FB6" w:rsidRPr="000D3C71" w:rsidRDefault="00953439" w:rsidP="00F06FB6">
      <w:pPr>
        <w:pStyle w:val="affd"/>
        <w:spacing w:line="360" w:lineRule="auto"/>
        <w:ind w:left="422" w:right="26"/>
        <w:jc w:val="left"/>
        <w:rPr>
          <w:rFonts w:ascii="Arial" w:hAnsi="Arial" w:cs="Arial"/>
          <w:bCs/>
        </w:rPr>
      </w:pPr>
      <w:r w:rsidRPr="000D3C71">
        <w:rPr>
          <w:rFonts w:ascii="Arial" w:hAnsi="Arial" w:cs="Arial"/>
          <w:lang w:val="en"/>
        </w:rPr>
        <w:t>III. Supervision and Verification by the Fund Custodian over the Fund Manager</w:t>
      </w:r>
    </w:p>
    <w:p w14:paraId="2EF83FA9" w14:textId="6ABBADD8" w:rsidR="00F06FB6" w:rsidRPr="000D3C71" w:rsidRDefault="00953439" w:rsidP="00503FB4">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w:t>
      </w:r>
      <w:r w:rsidR="007D71EE">
        <w:rPr>
          <w:rFonts w:ascii="Arial" w:hAnsi="Arial" w:cs="Arial" w:hint="eastAsia"/>
          <w:lang w:val="en"/>
        </w:rPr>
        <w:t>I</w:t>
      </w:r>
      <w:r w:rsidRPr="000D3C71">
        <w:rPr>
          <w:rFonts w:ascii="Arial" w:hAnsi="Arial" w:cs="Arial"/>
          <w:lang w:val="en"/>
        </w:rPr>
        <w:t>) Supervision of the Fund Manager’s Investment Activities</w:t>
      </w:r>
    </w:p>
    <w:p w14:paraId="04AEF6FD" w14:textId="77777777" w:rsidR="00F06FB6" w:rsidRPr="000D3C71" w:rsidRDefault="00953439" w:rsidP="00503FB4">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1. The Custodian shall, in accordance with relevant laws and regulations and the Fund Contract, supervise the following investment scope and investment targets of the Fund:</w:t>
      </w:r>
    </w:p>
    <w:p w14:paraId="4745EB0D" w14:textId="77777777" w:rsidR="00F06FB6" w:rsidRPr="000D3C71" w:rsidRDefault="00953439" w:rsidP="00DF628C">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The Fund will invest in the following financial instruments: constituent securities and alternate constituent securities of the Underlying Index. To better achieve its investment objective, the Fund may also invest in non</w:t>
      </w:r>
      <w:r w:rsidRPr="000D3C71">
        <w:rPr>
          <w:rFonts w:ascii="Arial" w:hAnsi="Arial" w:cs="Arial"/>
          <w:lang w:val="en"/>
        </w:rPr>
        <w:noBreakHyphen/>
        <w:t>constituent securities, bonds, stock index futures, warrants, and other financial instruments permitted under the laws and regulations or by the CSRC.</w:t>
      </w:r>
    </w:p>
    <w:p w14:paraId="605732D4" w14:textId="77777777" w:rsidR="00A2575F"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The stocks within the Fund’s investment scope include depositary receipts.</w:t>
      </w:r>
    </w:p>
    <w:p w14:paraId="0C45D871"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The Fund shall not invest in any investment instruments prohibited under the relevant laws and regulations, departmental rules, or the Fund Contract.</w:t>
      </w:r>
    </w:p>
    <w:p w14:paraId="6E8D3054"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2. The Fund Custodian, in accordance with relevant laws and regulations and the Fund Contract, shall supervise the following investment and financing ratios of the Fund:</w:t>
      </w:r>
    </w:p>
    <w:p w14:paraId="3983F915"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(1) In accordance with relevant laws and regulations and the Fund Contract, the Fund’s investment in the constituent securities and alternate constituent securities of the Underlying Index shall not be less than 90% of the NAV of the Fund.</w:t>
      </w:r>
    </w:p>
    <w:p w14:paraId="16F76A21"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If the Fund’s investment portfolio fails to meet the above requirement due to factors such as changes in the Fund’s size or market conditions, the Fund Manager shall adjust the portfolio within a reasonable period in order to comply with the ratio limit. Where laws and regulations provide otherwise, such provisions shall prevail.</w:t>
      </w:r>
    </w:p>
    <w:p w14:paraId="2CAF431D"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If the laws, regulations, or regulatory authorities subsequently allow the Fund to invest in other instruments, the Fund Manager, upon completion of the appropriate procedures, may include such instruments within the investment scope and may adjust that scope in a timely and reasonable manner in accordance with the then-effective laws and regulations.</w:t>
      </w:r>
    </w:p>
    <w:p w14:paraId="5AAE822E"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(2) In accordance with the laws and regulations and the Fund Contract, the Fund’s investment portfolio shall comply with the following restrictions:</w:t>
      </w:r>
    </w:p>
    <w:p w14:paraId="73C505F6"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Cambria Math" w:hAnsi="Cambria Math" w:cs="Cambria Math"/>
          <w:lang w:val="en"/>
        </w:rPr>
        <w:t>①</w:t>
      </w:r>
      <w:r w:rsidRPr="000D3C71">
        <w:rPr>
          <w:rFonts w:ascii="Arial" w:hAnsi="Arial" w:cs="Arial"/>
          <w:lang w:val="en"/>
        </w:rPr>
        <w:t xml:space="preserve"> On any trading day, the total amount spent by the Fund on purchasing warrants shall not exceed 0.5% of the NAV of the Fund as of the previous trading day, and the market value of all warrants held shall not exceed 3% of the NAV of the Fund. If laws, regulations, or the CSRC provide otherwise, such provisions shall prevail.</w:t>
      </w:r>
    </w:p>
    <w:p w14:paraId="688293BE" w14:textId="77777777" w:rsidR="00CC5095" w:rsidRPr="000D3C71" w:rsidRDefault="00953439">
      <w:pPr>
        <w:pStyle w:val="affd"/>
        <w:autoSpaceDE w:val="0"/>
        <w:autoSpaceDN w:val="0"/>
        <w:adjustRightInd w:val="0"/>
        <w:spacing w:line="360" w:lineRule="auto"/>
        <w:ind w:firstLineChars="200" w:firstLine="420"/>
        <w:rPr>
          <w:rFonts w:ascii="Arial" w:hAnsi="Arial" w:cs="Arial"/>
          <w:bCs/>
          <w:szCs w:val="21"/>
        </w:rPr>
      </w:pPr>
      <w:r w:rsidRPr="000D3C71">
        <w:rPr>
          <w:rFonts w:ascii="Cambria Math" w:hAnsi="Cambria Math" w:cs="Cambria Math"/>
          <w:lang w:val="en"/>
        </w:rPr>
        <w:t>②</w:t>
      </w:r>
      <w:r w:rsidRPr="000D3C71">
        <w:rPr>
          <w:rFonts w:ascii="Arial" w:hAnsi="Arial" w:cs="Arial"/>
          <w:lang w:val="en"/>
        </w:rPr>
        <w:t xml:space="preserve"> The Fund’s investment in various asset-backed securities from the same originator shall not exceed 10% of the NAV of the Fund; the market value of all asset-backed securities held shall not exceed 20% of the NAV of the Fund; the Fund’s holding of asset-backed securities with the same credit rating shall not exceed 10% of the total size of such securities.</w:t>
      </w:r>
    </w:p>
    <w:p w14:paraId="746AD715"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Cambria Math" w:hAnsi="Cambria Math" w:cs="Cambria Math"/>
          <w:lang w:val="en"/>
        </w:rPr>
        <w:t>③</w:t>
      </w:r>
      <w:r w:rsidRPr="000D3C71">
        <w:rPr>
          <w:rFonts w:ascii="Arial" w:hAnsi="Arial" w:cs="Arial"/>
          <w:lang w:val="en"/>
        </w:rPr>
        <w:t xml:space="preserve"> The Fund shall invest only in asset-backed securities rated BBB or above. If the credit rating of any such security held by the Fund is downgraded below the required standard during the holding period, the Fund shall dispose of such holdings in full within three months following the publication of the rating report.</w:t>
      </w:r>
    </w:p>
    <w:p w14:paraId="41CA3285"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Cambria Math" w:hAnsi="Cambria Math" w:cs="Cambria Math"/>
          <w:lang w:val="en"/>
        </w:rPr>
        <w:t>④</w:t>
      </w:r>
      <w:r w:rsidRPr="000D3C71">
        <w:rPr>
          <w:rFonts w:ascii="Arial" w:hAnsi="Arial" w:cs="Arial"/>
          <w:lang w:val="en"/>
        </w:rPr>
        <w:t xml:space="preserve"> When the Fund participates in a stock offering, the total application amount shall not exceed the Total Asset Value of the Fund, and the number of shares applied for shall not exceed the total number of shares being offered by the issuing company in such offering.</w:t>
      </w:r>
    </w:p>
    <w:p w14:paraId="0500F5C2"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Cambria Math" w:hAnsi="Cambria Math" w:cs="Cambria Math"/>
          <w:lang w:val="en"/>
        </w:rPr>
        <w:t>⑤</w:t>
      </w:r>
      <w:r w:rsidRPr="000D3C71">
        <w:rPr>
          <w:rFonts w:ascii="Arial" w:hAnsi="Arial" w:cs="Arial"/>
          <w:lang w:val="en"/>
        </w:rPr>
        <w:t xml:space="preserve"> The balance of funds used by the Fund for bond repurchase transactions in the national interbank market shall not exceed 40% of the NAV of the Fund.</w:t>
      </w:r>
    </w:p>
    <w:p w14:paraId="10E0B400"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Cambria Math" w:hAnsi="Cambria Math" w:cs="Cambria Math"/>
          <w:lang w:val="en"/>
        </w:rPr>
        <w:t>⑥</w:t>
      </w:r>
      <w:r w:rsidRPr="000D3C71">
        <w:rPr>
          <w:rFonts w:ascii="Arial" w:hAnsi="Arial" w:cs="Arial"/>
          <w:lang w:val="en"/>
        </w:rPr>
        <w:t xml:space="preserve"> At the close of any trading day, the notional value of long stock index futures contracts held shall not exceed 10% of the NAV of the Fund; the sum of the value of long futures contracts held and the market value of marketable securities shall not exceed 100% of the NAV of the Fund, where marketable securities refer to stocks, bonds (excluding government bonds maturing within one year), warrants, asset-backed securities, and financial assets purchased under reverse repurchase agreements (excluding collateralized repurchases); at the close of any trading day, the notional value of short futures contracts held shall not exceed 20% of the total market value of the Fund’s stock holdings; the aggregate transaction value of stock index futures contracts traded within any trading day (excluding closing-out transactions) shall not exceed 20% of the NAV of the Fund as of the preceding trading day; and at the close of each trading day, after deducting the trading margin for stock index futures contracts, the Fund shall maintain cash equal to no less than 100% of such margin. The combined net value of the Fund’s stock holdings together with its long and short positions in stock index futures, calculated on a net basis, shall not exceed 100% of the NAV of the Fund.</w:t>
      </w:r>
      <w:r w:rsidRPr="000D3C71">
        <w:rPr>
          <w:rFonts w:ascii="Arial" w:hAnsi="Arial" w:cs="Arial"/>
          <w:szCs w:val="21"/>
          <w:lang w:val="en"/>
        </w:rPr>
        <w:fldChar w:fldCharType="begin"/>
      </w:r>
      <w:r w:rsidRPr="000D3C71">
        <w:rPr>
          <w:rFonts w:ascii="Arial" w:hAnsi="Arial" w:cs="Arial"/>
          <w:szCs w:val="21"/>
          <w:lang w:val="en"/>
        </w:rPr>
        <w:instrText xml:space="preserve"> = 6 \* GB3 </w:instrText>
      </w:r>
      <w:r w:rsidRPr="000D3C71">
        <w:rPr>
          <w:rFonts w:ascii="Arial" w:hAnsi="Arial" w:cs="Arial"/>
          <w:szCs w:val="21"/>
          <w:lang w:val="en"/>
        </w:rPr>
        <w:fldChar w:fldCharType="separate"/>
      </w:r>
      <w:r w:rsidRPr="000D3C71">
        <w:rPr>
          <w:rFonts w:ascii="Arial" w:hAnsi="Arial" w:cs="Arial"/>
          <w:szCs w:val="21"/>
          <w:lang w:val="en"/>
        </w:rPr>
        <w:fldChar w:fldCharType="end"/>
      </w:r>
    </w:p>
    <w:p w14:paraId="17661109" w14:textId="77777777" w:rsidR="00CC5095"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Cambria Math" w:hAnsi="Cambria Math" w:cs="Cambria Math"/>
          <w:lang w:val="en"/>
        </w:rPr>
        <w:t>⑦</w:t>
      </w:r>
      <w:r w:rsidRPr="000D3C71">
        <w:rPr>
          <w:rFonts w:ascii="Arial" w:hAnsi="Arial" w:cs="Arial"/>
          <w:lang w:val="en"/>
        </w:rPr>
        <w:t xml:space="preserve"> The total market value of the Fund’s actively managed restricted-liquidity assets shall not exceed 15% of the NAV of the Fund. If the Fund becomes non-compliant with this limit due to factors beyond the Fund Manager’s control such as market fluctuations, suspension of listed company stocks, or changes in the Fund’s size, the Fund Manager shall not make any new active investments in restricted-liquidity assets.</w:t>
      </w:r>
    </w:p>
    <w:p w14:paraId="41A8401D" w14:textId="77777777" w:rsidR="00CC5095"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Cambria Math" w:hAnsi="Cambria Math" w:cs="Cambria Math"/>
          <w:lang w:val="en"/>
        </w:rPr>
        <w:t>⑧</w:t>
      </w:r>
      <w:r w:rsidRPr="000D3C71">
        <w:rPr>
          <w:rFonts w:ascii="Arial" w:hAnsi="Arial" w:cs="Arial"/>
          <w:lang w:val="en"/>
        </w:rPr>
        <w:t xml:space="preserve"> Where the Fund conducts reverse repurchase transactions with private securities asset management products or other counterparties recognized by the CSRC, the qualification standards for acceptable collateral shall align with the investment scope defined in the Fund Contract.</w:t>
      </w:r>
    </w:p>
    <w:p w14:paraId="6EB07B10" w14:textId="77777777" w:rsidR="009011C2"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Cambria Math" w:hAnsi="Cambria Math" w:cs="Cambria Math"/>
          <w:lang w:val="en"/>
        </w:rPr>
        <w:t>⑨</w:t>
      </w:r>
      <w:r w:rsidRPr="000D3C71">
        <w:rPr>
          <w:rFonts w:ascii="Arial" w:hAnsi="Arial" w:cs="Arial"/>
          <w:lang w:val="en"/>
        </w:rPr>
        <w:t xml:space="preserve"> The investment limits for depositary receipts held by the Fund shall follow those applicable to domestically listed stocks and be calculated on a combined basis.</w:t>
      </w:r>
      <w:r w:rsidRPr="000D3C71">
        <w:rPr>
          <w:rFonts w:ascii="Arial" w:hAnsi="Arial" w:cs="Arial"/>
          <w:lang w:val="en"/>
        </w:rPr>
        <w:fldChar w:fldCharType="begin"/>
      </w:r>
      <w:r w:rsidRPr="000D3C71">
        <w:rPr>
          <w:rFonts w:ascii="Arial" w:hAnsi="Arial" w:cs="Arial"/>
          <w:lang w:val="en"/>
        </w:rPr>
        <w:instrText xml:space="preserve"> = 9 \* GB3 </w:instrText>
      </w:r>
      <w:r w:rsidRPr="000D3C71">
        <w:rPr>
          <w:rFonts w:ascii="Arial" w:hAnsi="Arial" w:cs="Arial"/>
          <w:lang w:val="en"/>
        </w:rPr>
        <w:fldChar w:fldCharType="separate"/>
      </w:r>
      <w:r w:rsidRPr="000D3C71">
        <w:rPr>
          <w:rFonts w:ascii="Arial" w:hAnsi="Arial" w:cs="Arial"/>
          <w:lang w:val="en"/>
        </w:rPr>
        <w:fldChar w:fldCharType="end"/>
      </w:r>
    </w:p>
    <w:p w14:paraId="036E0F8D"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If the Fund Law or other relevant laws and regulations or regulatory authorities amend or repeal any of the above restrictions, the Fund shall, following completion of the appropriate procedures, no longer be subject to such restrictions.</w:t>
      </w:r>
    </w:p>
    <w:p w14:paraId="305735B8"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(3) Permitted Adjustment Period for Investment Ratios</w:t>
      </w:r>
    </w:p>
    <w:p w14:paraId="1CB48EBD"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 xml:space="preserve">Except as otherwise provided in items </w:t>
      </w:r>
      <w:r w:rsidRPr="000D3C71">
        <w:rPr>
          <w:rFonts w:ascii="Cambria Math" w:hAnsi="Cambria Math" w:cs="Cambria Math"/>
          <w:lang w:val="en"/>
        </w:rPr>
        <w:t>③</w:t>
      </w:r>
      <w:r w:rsidRPr="000D3C71">
        <w:rPr>
          <w:rFonts w:ascii="Arial" w:hAnsi="Arial" w:cs="Arial"/>
          <w:lang w:val="en"/>
        </w:rPr>
        <w:t xml:space="preserve">, </w:t>
      </w:r>
      <w:r w:rsidRPr="000D3C71">
        <w:rPr>
          <w:rFonts w:ascii="Cambria Math" w:hAnsi="Cambria Math" w:cs="Cambria Math"/>
          <w:lang w:val="en"/>
        </w:rPr>
        <w:t>⑦</w:t>
      </w:r>
      <w:r w:rsidRPr="000D3C71">
        <w:rPr>
          <w:rFonts w:ascii="Arial" w:hAnsi="Arial" w:cs="Arial"/>
          <w:lang w:val="en"/>
        </w:rPr>
        <w:t xml:space="preserve">, and </w:t>
      </w:r>
      <w:r w:rsidRPr="000D3C71">
        <w:rPr>
          <w:rFonts w:ascii="Cambria Math" w:hAnsi="Cambria Math" w:cs="Cambria Math"/>
          <w:lang w:val="en"/>
        </w:rPr>
        <w:t>⑧</w:t>
      </w:r>
      <w:r w:rsidRPr="000D3C71">
        <w:rPr>
          <w:rFonts w:ascii="Arial" w:hAnsi="Arial" w:cs="Arial"/>
          <w:lang w:val="en"/>
        </w:rPr>
        <w:t xml:space="preserve"> above, where deviations from the required ratios occur due to factors beyond the Fund Manager’s control—such as market fluctuations, mergers of listed companies, changes in the Fund’s size, adjustments to the constituent securities of the Underlying Index, or constraints on the liquidity of those constituent securities—such deviations shall not constitute a breach; however, the Fund Manager shall make adjustments within ten trading days to comply with the prescribed ratio limits. Where laws and regulations provide otherwise, such provisions shall prevail.</w:t>
      </w:r>
    </w:p>
    <w:p w14:paraId="55D4B9A8"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In the event of a foreseeable significant change in the Fund’s asset size, the Fund Manager shall provide written notice to the Fund Custodian at least two business days in advance, explaining the potential magnitude of the change and the corresponding response measures, to facilitate the Fund Custodian's transaction supervision.</w:t>
      </w:r>
    </w:p>
    <w:p w14:paraId="5CE3496E"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(4) The Fund may conduct margin financing and securities lending activities in accordance with relevant national regulations.</w:t>
      </w:r>
    </w:p>
    <w:p w14:paraId="1684F447"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The Fund Custodian’s supervision and inspection of the Fund’s investments shall commence from the Fund Contract Effective Date.</w:t>
      </w:r>
    </w:p>
    <w:p w14:paraId="059C102D"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3. The Fund Custodian shall, in accordance with relevant laws and regulations and the Fund Contract, supervise the following prohibited investment activities of the Fund:</w:t>
      </w:r>
    </w:p>
    <w:p w14:paraId="4F2553A8"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In accordance with the relevant laws and regulations and the Fund Contract, the Fund is prohibited from engaging in the following:</w:t>
      </w:r>
    </w:p>
    <w:p w14:paraId="66072E8B"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(1) Underwriting securities.</w:t>
      </w:r>
    </w:p>
    <w:p w14:paraId="3C917485"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(2) Granting loans or providing guarantees in violation of regulations.</w:t>
      </w:r>
    </w:p>
    <w:p w14:paraId="332FECFB"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(3) Engaging in investments involving unlimited liability.</w:t>
      </w:r>
    </w:p>
    <w:p w14:paraId="50A32AC8"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 xml:space="preserve">(4) Buying or selling units of other funds, except as otherwise stipulated by the securities regulatory authority under the State Council. </w:t>
      </w:r>
    </w:p>
    <w:p w14:paraId="1EAD0D14"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(5) Making capital contributions to the Fund Manager or the Fund Custodian.</w:t>
      </w:r>
    </w:p>
    <w:p w14:paraId="6FDB8A9C" w14:textId="77777777" w:rsidR="00F06FB6" w:rsidRPr="000D3C71" w:rsidRDefault="00953439">
      <w:pPr>
        <w:pStyle w:val="affd"/>
        <w:autoSpaceDE w:val="0"/>
        <w:autoSpaceDN w:val="0"/>
        <w:adjustRightInd w:val="0"/>
        <w:spacing w:line="360" w:lineRule="auto"/>
        <w:ind w:firstLineChars="200" w:firstLine="420"/>
        <w:rPr>
          <w:rFonts w:ascii="Arial" w:hAnsi="Arial" w:cs="Arial"/>
          <w:bCs/>
          <w:szCs w:val="21"/>
        </w:rPr>
      </w:pPr>
      <w:r w:rsidRPr="000D3C71">
        <w:rPr>
          <w:rFonts w:ascii="Arial" w:hAnsi="Arial" w:cs="Arial"/>
          <w:szCs w:val="21"/>
          <w:lang w:val="en"/>
        </w:rPr>
        <w:t xml:space="preserve">(6) Engaging in insider trading, manipulating securities prices, or other improper securities trading activities. </w:t>
      </w:r>
    </w:p>
    <w:p w14:paraId="5461746A"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Where the relevant laws and regulations or regulatory authorities abolish the above prohibitions, the Fund Manager may, after completing the appropriate procedures, be exempt from such restrictions.</w:t>
      </w:r>
    </w:p>
    <w:p w14:paraId="39BBD628"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4. The Fund Custodian shall, in accordance with relevant laws and regulations and the provisions of the Fund Contract, supervise the restrictions applicable to the Fund’s related</w:t>
      </w:r>
      <w:r w:rsidRPr="000D3C71">
        <w:rPr>
          <w:rFonts w:ascii="Arial" w:hAnsi="Arial" w:cs="Arial"/>
          <w:lang w:val="en"/>
        </w:rPr>
        <w:noBreakHyphen/>
        <w:t>party investments.</w:t>
      </w:r>
    </w:p>
    <w:p w14:paraId="76139997"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In accordance with the laws and regulations on prohibited related</w:t>
      </w:r>
      <w:r w:rsidRPr="000D3C71">
        <w:rPr>
          <w:rFonts w:ascii="Arial" w:hAnsi="Arial" w:cs="Arial"/>
          <w:lang w:val="en"/>
        </w:rPr>
        <w:noBreakHyphen/>
        <w:t>party transactions by funds, the Fund Manager and the Fund Custodian shall each provide the other in advance with a list of shareholders having a controlling relationship with their respective institutions, or other companies with which they have a material interest, together with any subsequent updates. These lists shall bear the official company seal and be submitted in writing, and the authenticity, completeness, and comprehensiveness of the related</w:t>
      </w:r>
      <w:r w:rsidRPr="000D3C71">
        <w:rPr>
          <w:rFonts w:ascii="Arial" w:hAnsi="Arial" w:cs="Arial"/>
          <w:lang w:val="en"/>
        </w:rPr>
        <w:noBreakHyphen/>
        <w:t>party lists must be ensured. The Fund Manager shall be responsible for maintaining an authentic, complete, and up</w:t>
      </w:r>
      <w:r w:rsidRPr="000D3C71">
        <w:rPr>
          <w:rFonts w:ascii="Arial" w:hAnsi="Arial" w:cs="Arial"/>
          <w:lang w:val="en"/>
        </w:rPr>
        <w:noBreakHyphen/>
        <w:t>to</w:t>
      </w:r>
      <w:r w:rsidRPr="000D3C71">
        <w:rPr>
          <w:rFonts w:ascii="Arial" w:hAnsi="Arial" w:cs="Arial"/>
          <w:lang w:val="en"/>
        </w:rPr>
        <w:noBreakHyphen/>
        <w:t>date list of related parties and for updating it in a timely manner. Following any changes to the list, the Fund Manager shall promptly forward the updated list to the Fund Custodian, who shall reply within two business days with written confirmation of receipt of the changes. If the Fund Custodian strictly follows the supervision procedures but the Fund Manager nonetheless engages in non</w:t>
      </w:r>
      <w:r w:rsidRPr="000D3C71">
        <w:rPr>
          <w:rFonts w:ascii="Arial" w:hAnsi="Arial" w:cs="Arial"/>
          <w:lang w:val="en"/>
        </w:rPr>
        <w:noBreakHyphen/>
        <w:t>compliant related</w:t>
      </w:r>
      <w:r w:rsidRPr="000D3C71">
        <w:rPr>
          <w:rFonts w:ascii="Arial" w:hAnsi="Arial" w:cs="Arial"/>
          <w:lang w:val="en"/>
        </w:rPr>
        <w:noBreakHyphen/>
        <w:t>party transactions resulting in losses to the Property of the Fund, the Fund Manager shall bear the liability.</w:t>
      </w:r>
    </w:p>
    <w:p w14:paraId="68F8269F"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If the Fund Custodian discovers that the Fund Manager has engaged in a related</w:t>
      </w:r>
      <w:r w:rsidRPr="000D3C71">
        <w:rPr>
          <w:rFonts w:ascii="Arial" w:hAnsi="Arial" w:cs="Arial"/>
          <w:lang w:val="en"/>
        </w:rPr>
        <w:noBreakHyphen/>
        <w:t>party transaction prohibited under the relevant laws and regulations with a party named on the approved list, the Fund Custodian shall promptly remind and assist the Fund Manager in taking all necessary measures to prevent such a transaction. If, after the Fund Custodian has taken necessary measures, the related</w:t>
      </w:r>
      <w:r w:rsidRPr="000D3C71">
        <w:rPr>
          <w:rFonts w:ascii="Arial" w:hAnsi="Arial" w:cs="Arial"/>
          <w:lang w:val="en"/>
        </w:rPr>
        <w:noBreakHyphen/>
        <w:t>party transaction still cannot be prevented, the Fund Custodian shall have the right to report the matter to the CSRC. For non</w:t>
      </w:r>
      <w:r w:rsidRPr="000D3C71">
        <w:rPr>
          <w:rFonts w:ascii="Arial" w:hAnsi="Arial" w:cs="Arial"/>
          <w:lang w:val="en"/>
        </w:rPr>
        <w:noBreakHyphen/>
        <w:t>compliant related</w:t>
      </w:r>
      <w:r w:rsidRPr="000D3C71">
        <w:rPr>
          <w:rFonts w:ascii="Arial" w:hAnsi="Arial" w:cs="Arial"/>
          <w:lang w:val="en"/>
        </w:rPr>
        <w:noBreakHyphen/>
        <w:t>party transactions already executed on an exchange, the Fund Custodian shall complete settlement in accordance with the relevant laws, regulations, and exchange rules, while also reporting the incident to the CSRC.</w:t>
      </w:r>
    </w:p>
    <w:p w14:paraId="12EE89D7"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5. The Fund Custodian shall, in accordance with relevant laws and regulations and the Fund Contract, monitor the Fund Manager’s participation in the interbank bond market.</w:t>
      </w:r>
    </w:p>
    <w:p w14:paraId="642ABC0B"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(1) The Fund Custodian shall supervise the Fund Manager’s credit</w:t>
      </w:r>
      <w:r w:rsidRPr="000D3C71">
        <w:rPr>
          <w:rFonts w:ascii="Arial" w:hAnsi="Arial" w:cs="Arial"/>
          <w:lang w:val="en"/>
        </w:rPr>
        <w:noBreakHyphen/>
        <w:t>risk control measures for interbank</w:t>
      </w:r>
      <w:r w:rsidRPr="000D3C71">
        <w:rPr>
          <w:rFonts w:ascii="Arial" w:hAnsi="Arial" w:cs="Arial"/>
          <w:lang w:val="en"/>
        </w:rPr>
        <w:noBreakHyphen/>
        <w:t>market counterparties as follows:</w:t>
      </w:r>
    </w:p>
    <w:p w14:paraId="567CE203"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The Fund Manager shall provide the Fund Custodian with a list of interbank</w:t>
      </w:r>
      <w:r w:rsidRPr="000D3C71">
        <w:rPr>
          <w:rFonts w:ascii="Arial" w:hAnsi="Arial" w:cs="Arial"/>
          <w:lang w:val="en"/>
        </w:rPr>
        <w:noBreakHyphen/>
        <w:t>market counterparties that comply with the relevant laws, regulations, and industry standards and shall, following prudent risk control principles, stipulate the applicable transaction settlement method for each counterparty on that list. The Fund Custodian shall reply within two business days with a written acknowledgment of receipt. The Fund Manager shall update the list of interbank spot trading and repurchase transaction counterparties on a regular or ad hoc basis. Any additions or removals of counterparties shall be communicated to the Fund Custodian in advance in writing. The Fund Custodian shall update its records after replying within two business days with written confirmation of receipt. Once the Fund Manager receives the Fund Custodian’s written confirmation, the updated list shall take effect. Transactions already initiated with a counterparty subsequently removed but not yet settled shall remain subject to the original agreement for settlement.</w:t>
      </w:r>
    </w:p>
    <w:p w14:paraId="0FF77C23"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If the Fund Custodian identifies that the Fund Manager has conducted a transaction with a counterparty not appearing on the approved list, it shall promptly remind the Fund Manager to cancel the transaction. If, after such reminder, the Fund Manager nonetheless executes the transaction and losses occur to the Property of the Fund, the Fund Custodian shall bear no responsibility, and shall have the right to report the incident to the CSRC.</w:t>
      </w:r>
    </w:p>
    <w:p w14:paraId="24620589"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(2) Supervision of the transaction methods used by the Fund Manager in the interbank market</w:t>
      </w:r>
    </w:p>
    <w:p w14:paraId="5F7B22CC"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When conducting spot trading or repurchase transactions in the interbank market, the Fund Manager must use the transaction settlement method specified for the particular counterparty in the approved list. If the Fund Custodian discovers that the Fund Manager has not followed the pre</w:t>
      </w:r>
      <w:r w:rsidRPr="000D3C71">
        <w:rPr>
          <w:rFonts w:ascii="Arial" w:hAnsi="Arial" w:cs="Arial"/>
          <w:lang w:val="en"/>
        </w:rPr>
        <w:noBreakHyphen/>
        <w:t>agreed settlement method, the Fund Custodian shall promptly remind the Fund Manager to reconfirm the method with the counterparty. If the Fund Manager fails to make corrections after being reminded and losses occur to the Property of the Fund, the Fund Custodian shall bear no responsibility.</w:t>
      </w:r>
    </w:p>
    <w:p w14:paraId="11F2D7A2"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(3) The Fund Manager’s core interbank counterparties shall include Industrial and Commercial Bank of China, Bank of China, China Construction Bank, Agricultural Bank of China, and Bank of Communications. Upon providing notice to the Fund Custodian, the Fund Manager may adjust this list of core counterparties based on prevailing market conditions. The Fund Manager shall be responsible for controlling counterparties’ credit risk. When trading with non</w:t>
      </w:r>
      <w:r w:rsidRPr="000D3C71">
        <w:rPr>
          <w:rFonts w:ascii="Arial" w:hAnsi="Arial" w:cs="Arial"/>
          <w:lang w:val="en"/>
        </w:rPr>
        <w:noBreakHyphen/>
        <w:t>core counterparties, any losses resulting from counterparty credit risk shall first be borne by the Fund Manager, who shall thereafter have the right to seek recovery from the responsible party. The Fund Custodian’s supervisory responsibility shall be limited to verifying whether counterparties appear on the approved list.</w:t>
      </w:r>
    </w:p>
    <w:p w14:paraId="2C472E6E"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6. The Fund Custodian shall supervise the Fund Manager’s selection of depository banks.</w:t>
      </w:r>
    </w:p>
    <w:p w14:paraId="41CCFDDD"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The credit risk associated with the Fund’s bank deposits primarily relates to the selection of depository banks, including their credit ratings and payment capacity. The core depository banks for the Fund are Industrial and Commercial Bank of China, Bank of China, China Construction Bank, Agricultural Bank of China, and Bank of Communications. Where losses arise from deposits placed with non</w:t>
      </w:r>
      <w:r w:rsidRPr="000D3C71">
        <w:rPr>
          <w:rFonts w:ascii="Arial" w:hAnsi="Arial" w:cs="Arial"/>
          <w:lang w:val="en"/>
        </w:rPr>
        <w:noBreakHyphen/>
        <w:t>core depository banks due to the banks’ credit risk, such losses shall first be compensated by the Fund Manager, who shall then have the right to seek recovery from the responsible parties. Upon providing notice to the Fund Custodian, the Fund Manager may adjust the list of core depository banks according to prevailing market conditions. The Fund Custodian’s supervisory responsibility is limited to verifying whether each depository bank is included in the approved core list.</w:t>
      </w:r>
    </w:p>
    <w:p w14:paraId="7033E132"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7. The Fund Custodian shall supervise the Fund’s investment in restricted-liquidity securities.</w:t>
      </w:r>
    </w:p>
    <w:p w14:paraId="11533A2C"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(1) The Fund’s investment in restricted-liquidity securities shall comply with the Urgent Notice on Regulating Fund Investment in Non</w:t>
      </w:r>
      <w:r w:rsidRPr="000D3C71">
        <w:rPr>
          <w:rFonts w:ascii="Arial" w:hAnsi="Arial" w:cs="Arial"/>
          <w:lang w:val="en"/>
        </w:rPr>
        <w:noBreakHyphen/>
        <w:t>Publicly Offered Securities, the Notice on Issues Concerning Fund Investment in Non</w:t>
      </w:r>
      <w:r w:rsidRPr="000D3C71">
        <w:rPr>
          <w:rFonts w:ascii="Arial" w:hAnsi="Arial" w:cs="Arial"/>
          <w:lang w:val="en"/>
        </w:rPr>
        <w:noBreakHyphen/>
        <w:t>Publicly Offered Stocks and Other Restricted</w:t>
      </w:r>
      <w:r w:rsidRPr="000D3C71">
        <w:rPr>
          <w:rFonts w:ascii="Arial" w:hAnsi="Arial" w:cs="Arial"/>
          <w:lang w:val="en"/>
        </w:rPr>
        <w:noBreakHyphen/>
        <w:t>Liquidity Securities, and other relevant laws and regulations.</w:t>
      </w:r>
    </w:p>
    <w:p w14:paraId="40EB58F7"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(2) Restricted-liquidity securities refer to tradable securities that have a designated lock</w:t>
      </w:r>
      <w:r w:rsidRPr="000D3C71">
        <w:rPr>
          <w:rFonts w:ascii="Arial" w:hAnsi="Arial" w:cs="Arial"/>
          <w:lang w:val="en"/>
        </w:rPr>
        <w:noBreakHyphen/>
        <w:t>up period at the time of issuance, including non</w:t>
      </w:r>
      <w:r w:rsidRPr="000D3C71">
        <w:rPr>
          <w:rFonts w:ascii="Arial" w:hAnsi="Arial" w:cs="Arial"/>
          <w:lang w:val="en"/>
        </w:rPr>
        <w:noBreakHyphen/>
        <w:t>publicly offered stocks governed by the Administrative Measures for Securities Issuance by Listed Companies and the offline allotment portion of publicly offered stocks. They do not include securities temporarily suspended from trading due to major announcements or other causes, unlisted issued securities, collateral securities in repurchase transactions, or other such restricted-liquidity securities.</w:t>
      </w:r>
    </w:p>
    <w:p w14:paraId="1FC0D14D"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(3) Before the Fund’s first investment in restricted-liquidity securities, the Fund Manager shall provide the Fund Custodian with the Board</w:t>
      </w:r>
      <w:r w:rsidRPr="000D3C71">
        <w:rPr>
          <w:rFonts w:ascii="Arial" w:hAnsi="Arial" w:cs="Arial"/>
          <w:lang w:val="en"/>
        </w:rPr>
        <w:noBreakHyphen/>
        <w:t>approved investment decision</w:t>
      </w:r>
      <w:r w:rsidRPr="000D3C71">
        <w:rPr>
          <w:rFonts w:ascii="Arial" w:hAnsi="Arial" w:cs="Arial"/>
          <w:lang w:val="en"/>
        </w:rPr>
        <w:noBreakHyphen/>
        <w:t>making process and risk control system applicable to such investments. For non</w:t>
      </w:r>
      <w:r w:rsidRPr="000D3C71">
        <w:rPr>
          <w:rFonts w:ascii="Arial" w:hAnsi="Arial" w:cs="Arial"/>
          <w:lang w:val="en"/>
        </w:rPr>
        <w:noBreakHyphen/>
        <w:t>publicly offered stocks, the Fund Manager shall also provide a liquidity risk contingency plan approved by its Board. The aforementioned documents shall include, without limitation, details regarding investment limits and ratio controls.</w:t>
      </w:r>
    </w:p>
    <w:p w14:paraId="432A3B15"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The Fund Manager shall deliver the above documents in writing to the Fund Custodian at least two business days prior to the first execution of investment instructions, ensuring the Custodian has sufficient time for review. The Fund Custodian shall confirm receipt within two business days, in writing or other mutually agreed form.</w:t>
      </w:r>
    </w:p>
    <w:p w14:paraId="462972BD"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(4) Prior to investing in restricted-liquidity securities, the Fund Manager shall provide the Fund Custodian with legally compliant written information, including but not limited to: CSRC approval documents for the issuer, the quantity of securities to be issued, issue price, lock</w:t>
      </w:r>
      <w:r w:rsidRPr="000D3C71">
        <w:rPr>
          <w:rFonts w:ascii="Arial" w:hAnsi="Arial" w:cs="Arial"/>
          <w:lang w:val="en"/>
        </w:rPr>
        <w:noBreakHyphen/>
        <w:t>up period, the Fund’s planned subscription quantity, price, and total cost, the ratio of such cost to the NAV of the Fund, the ratio of the current market value of restricted-liquidity holdings to the NAV of the Fund, and the fund transfer schedule. The Fund Manager shall ensure that this information is true and complete and deliver it in writing to the Fund Custodian at least two business days before the intended trade execution to allow sufficient review time.</w:t>
      </w:r>
    </w:p>
    <w:p w14:paraId="3F239BE5"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(5) The Fund Custodian shall, in accordance with the Notice on Issues Concerning Fund Investments in Non</w:t>
      </w:r>
      <w:r w:rsidRPr="000D3C71">
        <w:rPr>
          <w:rFonts w:ascii="Arial" w:hAnsi="Arial" w:cs="Arial"/>
          <w:lang w:val="en"/>
        </w:rPr>
        <w:noBreakHyphen/>
        <w:t>Publicly Offered Stocks and Other Restricted</w:t>
      </w:r>
      <w:r w:rsidRPr="000D3C71">
        <w:rPr>
          <w:rFonts w:ascii="Arial" w:hAnsi="Arial" w:cs="Arial"/>
          <w:lang w:val="en"/>
        </w:rPr>
        <w:noBreakHyphen/>
        <w:t>Liquidity Securities, supervise whether the Fund Manager complies with the relevant laws and regulations and shall review the written information provided. If the Fund Custodian considers that the materials provided may give rise to risk for the Fund, it is entitled to request that the Fund Manager submit a supplementary written explanation regarding measures to eliminate or mitigate such risk prior to the investment and reserves the right to inspect supporting files such as the risk assessment report issued by the Fund Manager’s risk management department. Otherwise, the Fund Custodian shall have the right to refuse to execute the relevant instructions. The Fund Custodian shall bear no responsibility for any losses to the Property of the Fund arising from such refusal and shall have the right to report the matter to the CSRC.</w:t>
      </w:r>
    </w:p>
    <w:p w14:paraId="542074DC"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If the Fund Manager and Fund Custodian fail to reach an agreement, they shall promptly report it to the CSRC for resolution. Where the Fund Custodian has duly performed its supervisory duties, it shall bear no responsibility. Where the Fund Custodian fails to effectively perform its supervisory duties, thereby causing risk to the Fund, it shall bear joint and several liability.</w:t>
      </w:r>
    </w:p>
    <w:p w14:paraId="7C2FFF80" w14:textId="7D510F41" w:rsidR="00F06FB6" w:rsidRPr="00A45298" w:rsidRDefault="00953439">
      <w:pPr>
        <w:pStyle w:val="affd"/>
        <w:autoSpaceDE w:val="0"/>
        <w:autoSpaceDN w:val="0"/>
        <w:adjustRightInd w:val="0"/>
        <w:spacing w:line="360" w:lineRule="auto"/>
        <w:ind w:firstLineChars="200" w:firstLine="420"/>
        <w:rPr>
          <w:rFonts w:ascii="Arial" w:hAnsi="Arial" w:cs="Arial"/>
        </w:rPr>
      </w:pPr>
      <w:r w:rsidRPr="00A45298">
        <w:rPr>
          <w:rFonts w:ascii="Arial" w:hAnsi="Arial" w:cs="Arial"/>
          <w:lang w:val="en"/>
        </w:rPr>
        <w:t>(</w:t>
      </w:r>
      <w:r w:rsidR="00A45298" w:rsidRPr="00A45298">
        <w:rPr>
          <w:rFonts w:ascii="Arial" w:hAnsi="Arial" w:cs="Arial"/>
          <w:lang w:val="en"/>
        </w:rPr>
        <w:t>II</w:t>
      </w:r>
      <w:r w:rsidRPr="00A45298">
        <w:rPr>
          <w:rFonts w:ascii="Arial" w:hAnsi="Arial" w:cs="Arial"/>
          <w:lang w:val="en"/>
        </w:rPr>
        <w:t>) The Fund Custodian shall, in accordance with the relevant laws and regulations and the Fund Contract, supervise and verify the calculation of the NAV of the Fund, the calculation of the NAV per Unit, the receipt of funds receivable, the determination of fund expenses and income, the distribution of fund income, the disclosure of relevant information, and the accuracy of performance data published in the Fund’s promotional materials.</w:t>
      </w:r>
    </w:p>
    <w:p w14:paraId="5869BAB3" w14:textId="5D65FD73" w:rsidR="00F06FB6" w:rsidRPr="000D3C71" w:rsidRDefault="00953439">
      <w:pPr>
        <w:pStyle w:val="affd"/>
        <w:autoSpaceDE w:val="0"/>
        <w:autoSpaceDN w:val="0"/>
        <w:adjustRightInd w:val="0"/>
        <w:spacing w:line="360" w:lineRule="auto"/>
        <w:ind w:firstLineChars="200" w:firstLine="420"/>
        <w:rPr>
          <w:rFonts w:ascii="Arial" w:hAnsi="Arial" w:cs="Arial"/>
        </w:rPr>
      </w:pPr>
      <w:r w:rsidRPr="00A45298">
        <w:rPr>
          <w:rFonts w:ascii="Arial" w:hAnsi="Arial" w:cs="Arial"/>
          <w:lang w:val="en"/>
        </w:rPr>
        <w:t>(</w:t>
      </w:r>
      <w:r w:rsidR="00A45298" w:rsidRPr="00A45298">
        <w:rPr>
          <w:rFonts w:ascii="Arial" w:hAnsi="Arial" w:cs="Arial"/>
          <w:lang w:val="en"/>
        </w:rPr>
        <w:t>III</w:t>
      </w:r>
      <w:r w:rsidRPr="00A45298">
        <w:rPr>
          <w:rFonts w:ascii="Arial" w:hAnsi="Arial" w:cs="Arial"/>
          <w:lang w:val="en"/>
        </w:rPr>
        <w:t>) If the Fund Custodian discovers that the Fund Manager’s investment or other activities violate the Fund Law, the Fund Contract, or this Custody Agreement, it shall promptly notify the Fund Manager in writing to rectify such violation within a specified period. Upon receipt, the Fund Manager shall verify the matter on the next business day</w:t>
      </w:r>
      <w:r w:rsidRPr="000D3C71">
        <w:rPr>
          <w:rFonts w:ascii="Arial" w:hAnsi="Arial" w:cs="Arial"/>
          <w:lang w:val="en"/>
        </w:rPr>
        <w:t xml:space="preserve"> and respond in writing to the Fund Custodian with an explanation or supporting evidence.</w:t>
      </w:r>
    </w:p>
    <w:p w14:paraId="6B2C3FC3"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lang w:val="en"/>
        </w:rPr>
        <w:t>During the correction period, the Fund Custodian may re</w:t>
      </w:r>
      <w:r w:rsidRPr="000D3C71">
        <w:rPr>
          <w:rFonts w:ascii="Arial" w:hAnsi="Arial" w:cs="Arial"/>
          <w:lang w:val="en"/>
        </w:rPr>
        <w:noBreakHyphen/>
        <w:t>examine the notified matter at any time and urge the Fund Manager to make corrections. Where the Fund Manager fails to correct the non</w:t>
      </w:r>
      <w:r w:rsidRPr="000D3C71">
        <w:rPr>
          <w:rFonts w:ascii="Arial" w:hAnsi="Arial" w:cs="Arial"/>
          <w:lang w:val="en"/>
        </w:rPr>
        <w:noBreakHyphen/>
        <w:t>compliance within the specified period, the Fund Custodian shall report the matter to the CSRC. The Fund Custodian shall require the Fund Manager to compensate investors for any losses incurred due to violations of the Fund Contract.</w:t>
      </w:r>
    </w:p>
    <w:p w14:paraId="1B971AC5" w14:textId="77777777" w:rsidR="00F06FB6" w:rsidRPr="000D3C71" w:rsidRDefault="00953439">
      <w:pPr>
        <w:pStyle w:val="affd"/>
        <w:autoSpaceDE w:val="0"/>
        <w:autoSpaceDN w:val="0"/>
        <w:adjustRightInd w:val="0"/>
        <w:spacing w:line="360" w:lineRule="auto"/>
        <w:ind w:firstLineChars="200" w:firstLine="420"/>
        <w:rPr>
          <w:rFonts w:ascii="Arial" w:hAnsi="Arial" w:cs="Arial"/>
          <w:szCs w:val="21"/>
        </w:rPr>
      </w:pPr>
      <w:r w:rsidRPr="000D3C71">
        <w:rPr>
          <w:rFonts w:ascii="Arial" w:hAnsi="Arial" w:cs="Arial"/>
          <w:lang w:val="en"/>
        </w:rPr>
        <w:t>Within the scope of its supervisory obligations, for investment instructions not yet executed and subject to pre</w:t>
      </w:r>
      <w:r w:rsidRPr="000D3C71">
        <w:rPr>
          <w:rFonts w:ascii="Arial" w:hAnsi="Arial" w:cs="Arial"/>
          <w:lang w:val="en"/>
        </w:rPr>
        <w:noBreakHyphen/>
        <w:t>trade monitoring, if the Fund Custodian finds an instruction in violation of the relevant laws and regulations or the Fund Contract, it shall refuse to execute the instruction, promptly notify the Fund Manager, and report the matter to the CSRC.</w:t>
      </w:r>
    </w:p>
    <w:p w14:paraId="0EEAC605" w14:textId="77777777" w:rsidR="00F06FB6" w:rsidRPr="000D3C71" w:rsidRDefault="00953439" w:rsidP="00F06FB6">
      <w:pPr>
        <w:pStyle w:val="PlainText"/>
        <w:spacing w:line="360" w:lineRule="auto"/>
        <w:ind w:firstLineChars="200" w:firstLine="420"/>
        <w:rPr>
          <w:rFonts w:ascii="Arial" w:hAnsi="Arial" w:cs="Arial"/>
        </w:rPr>
      </w:pPr>
      <w:r w:rsidRPr="000D3C71">
        <w:rPr>
          <w:rFonts w:ascii="Arial" w:hAnsi="Arial" w:cs="Arial"/>
          <w:lang w:val="en"/>
        </w:rPr>
        <w:t>Within the same supervisory scope, for monitoring indicators identified after valuation or for instructions already executed, if the Fund Custodian discovers a violation, it shall immediately notify the Fund Manager and report to the CSRC.</w:t>
      </w:r>
    </w:p>
    <w:p w14:paraId="5FBB681C" w14:textId="77777777" w:rsidR="00F06FB6"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Fund Manager shall cooperate fully with the Fund Custodian’s supervision and verification, respond and correct issues within the prescribed time, provide explanations or evidence upon request, and furnish relevant data, documents, and policies when the Fund Custodian is required by laws or regulations to submit a fund</w:t>
      </w:r>
      <w:r w:rsidRPr="000D3C71">
        <w:rPr>
          <w:rFonts w:ascii="Arial" w:hAnsi="Arial" w:cs="Arial"/>
          <w:szCs w:val="21"/>
          <w:lang w:val="en"/>
        </w:rPr>
        <w:noBreakHyphen/>
        <w:t>supervision report to the CSRC.</w:t>
      </w:r>
    </w:p>
    <w:p w14:paraId="3395E026" w14:textId="77777777" w:rsidR="00F06FB6"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If the Fund Custodian discovers a material violation by the Fund Manager, it shall immediately report the matter to the CSRC and simultaneously notify the Fund Manager to rectify it within a specified time limit.</w:t>
      </w:r>
    </w:p>
    <w:p w14:paraId="17C4F3D0" w14:textId="77777777" w:rsidR="00F06FB6" w:rsidRPr="000D3C71" w:rsidRDefault="00953439" w:rsidP="00DF628C">
      <w:pPr>
        <w:pStyle w:val="affd"/>
        <w:spacing w:line="360" w:lineRule="auto"/>
        <w:ind w:right="26" w:firstLineChars="200" w:firstLine="420"/>
        <w:rPr>
          <w:rFonts w:ascii="Arial" w:hAnsi="Arial" w:cs="Arial"/>
          <w:b/>
          <w:bCs/>
        </w:rPr>
      </w:pPr>
      <w:r w:rsidRPr="000D3C71">
        <w:rPr>
          <w:rFonts w:ascii="Arial" w:hAnsi="Arial" w:cs="Arial"/>
          <w:szCs w:val="21"/>
          <w:lang w:val="en"/>
        </w:rPr>
        <w:t>Where the Fund Manager, without justifiable reason, refuses or obstructs the Fund Custodian in exercising its supervisory duties under this agreement, or seeks to hinder effective supervision through delay, fraud, or other means, and the situation is serious or remains unrectified after a warning, the Fund Custodian shall report the matter to the CSRC.</w:t>
      </w:r>
    </w:p>
    <w:p w14:paraId="79CA3C83" w14:textId="77777777" w:rsidR="00F06FB6" w:rsidRPr="000D3C71" w:rsidRDefault="00953439">
      <w:pPr>
        <w:pStyle w:val="affd"/>
        <w:spacing w:line="360" w:lineRule="auto"/>
        <w:ind w:right="26" w:firstLineChars="200" w:firstLine="420"/>
        <w:jc w:val="left"/>
        <w:rPr>
          <w:rFonts w:ascii="Arial" w:hAnsi="Arial" w:cs="Arial"/>
          <w:bCs/>
        </w:rPr>
      </w:pPr>
      <w:r w:rsidRPr="000D3C71">
        <w:rPr>
          <w:rFonts w:ascii="Arial" w:hAnsi="Arial" w:cs="Arial"/>
          <w:lang w:val="en"/>
        </w:rPr>
        <w:t>IV. Verification of the Fund Custodian’s Performance by the Fund Manager</w:t>
      </w:r>
    </w:p>
    <w:p w14:paraId="5E807881"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 Fund Manager shall examine the Fund Custodian’s performance of its custodial obligations. The scope of verification includes, but is not limited to: safe custody of the Property of the Fund, opening of cash and securities accounts for the Property of the Fund, review of the NAV of the Fund and NAV per Unit calculated by the Fund Manager, clearing and settlement in accordance with the Fund Manager’s instructions, disclosure of relevant information, and supervision of the Fund’s investment operations.</w:t>
      </w:r>
    </w:p>
    <w:p w14:paraId="019BE414"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lang w:val="en"/>
        </w:rPr>
        <w:t>If the Fund Manager discovers that the Fund Custodian has misappropriated Property of the Fund, failed to maintain segregated accounts, failed to execute or unduly delayed the execution of fund</w:t>
      </w:r>
      <w:r w:rsidRPr="000D3C71">
        <w:rPr>
          <w:rFonts w:ascii="Arial" w:hAnsi="Arial" w:cs="Arial"/>
          <w:lang w:val="en"/>
        </w:rPr>
        <w:noBreakHyphen/>
        <w:t>transfer instructions without proper reason, or disclosed investment information in violation of the Fund Law, the Fund Contract, this Custody Agreement, or other relevant laws and regulations, the Fund Manager shall promptly notify the Fund Custodian in writing to rectify the issue within a specified period. Upon receipt, the Fund Custodian shall verify and confirm the issue and respond in writing. During the correction period, the Fund Manager shall have the right to review the matter at any time, urge correction, and give appropriate assistance. If the Fund Custodian fails to correct the issue within the specified period, the Fund Manager shall report the matter to the CSRC. The Fund Manager shall require the Fund Custodian to compensate the Fund for any resulting losses.</w:t>
      </w:r>
    </w:p>
    <w:p w14:paraId="5489865E"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If the Fund Manager discovers a material violation by the Fund Custodian, it shall immediately report the matter to the CSRC and the Banking Regulatory Authority, and simultaneously notify the Fund Custodian to correct it within a prescribed period.</w:t>
      </w:r>
    </w:p>
    <w:p w14:paraId="3AF49958"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 Fund Custodian shall fully cooperate with the Fund Manager’s verification, including submitting relevant documentation to verify the integrity and authenticity of the custodial property, and shall respond and make corrections within the specified period.</w:t>
      </w:r>
    </w:p>
    <w:p w14:paraId="54AB9810" w14:textId="77777777" w:rsidR="00F06FB6" w:rsidRPr="000D3C71" w:rsidRDefault="00953439">
      <w:pPr>
        <w:pStyle w:val="affd"/>
        <w:autoSpaceDE w:val="0"/>
        <w:autoSpaceDN w:val="0"/>
        <w:adjustRightInd w:val="0"/>
        <w:spacing w:line="360" w:lineRule="auto"/>
        <w:ind w:firstLineChars="200" w:firstLine="420"/>
        <w:rPr>
          <w:rFonts w:ascii="Arial" w:hAnsi="Arial" w:cs="Arial"/>
        </w:rPr>
      </w:pPr>
      <w:r w:rsidRPr="000D3C71">
        <w:rPr>
          <w:rFonts w:ascii="Arial" w:hAnsi="Arial" w:cs="Arial"/>
          <w:szCs w:val="21"/>
          <w:lang w:val="en"/>
        </w:rPr>
        <w:t>Where the Fund Custodian, without justifiable reason, refuses or obstructs the Fund Manager in exercising its supervisory duties under this agreement, or hinders effective supervision through delay, deceit, or other means, and the situation is serious or persists after a warning from the Fund Manager, the Fund Manager shall report the matter to the CSRC.</w:t>
      </w:r>
    </w:p>
    <w:p w14:paraId="55F58882" w14:textId="77777777" w:rsidR="00F06FB6" w:rsidRPr="000D3C71" w:rsidRDefault="00953439" w:rsidP="00161B8A">
      <w:pPr>
        <w:pStyle w:val="affd"/>
        <w:spacing w:line="360" w:lineRule="auto"/>
        <w:ind w:left="422" w:right="26"/>
        <w:jc w:val="left"/>
        <w:rPr>
          <w:rFonts w:ascii="Arial" w:hAnsi="Arial" w:cs="Arial"/>
          <w:bCs/>
        </w:rPr>
      </w:pPr>
      <w:r w:rsidRPr="000D3C71">
        <w:rPr>
          <w:rFonts w:ascii="Arial" w:hAnsi="Arial" w:cs="Arial"/>
          <w:lang w:val="en"/>
        </w:rPr>
        <w:t>V. Custody of Fund Property</w:t>
      </w:r>
    </w:p>
    <w:p w14:paraId="4782D63E" w14:textId="77777777" w:rsidR="00F06FB6" w:rsidRPr="000D3C71" w:rsidRDefault="00953439" w:rsidP="00503FB4">
      <w:pPr>
        <w:pStyle w:val="affd"/>
        <w:tabs>
          <w:tab w:val="right" w:pos="8306"/>
        </w:tabs>
        <w:spacing w:line="360" w:lineRule="auto"/>
        <w:ind w:firstLineChars="200" w:firstLine="420"/>
        <w:rPr>
          <w:rFonts w:ascii="Arial" w:hAnsi="Arial" w:cs="Arial"/>
          <w:szCs w:val="21"/>
        </w:rPr>
      </w:pPr>
      <w:r w:rsidRPr="000D3C71">
        <w:rPr>
          <w:rFonts w:ascii="Arial" w:hAnsi="Arial" w:cs="Arial"/>
          <w:szCs w:val="21"/>
          <w:lang w:val="en"/>
        </w:rPr>
        <w:t>(I) Principles of Custody of Fund Property</w:t>
      </w:r>
    </w:p>
    <w:p w14:paraId="0161DB66" w14:textId="77777777" w:rsidR="00F06FB6"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1. The Fund Property shall be independent of the proprietary assets of the Fund Manager and the Fund Custodian.</w:t>
      </w:r>
    </w:p>
    <w:p w14:paraId="222A877D" w14:textId="77777777" w:rsidR="00F06FB6" w:rsidRPr="000D3C71" w:rsidRDefault="00953439" w:rsidP="00DF628C">
      <w:pPr>
        <w:pStyle w:val="affd"/>
        <w:spacing w:line="360" w:lineRule="auto"/>
        <w:ind w:firstLineChars="200" w:firstLine="420"/>
        <w:rPr>
          <w:rFonts w:ascii="Arial" w:hAnsi="Arial" w:cs="Arial"/>
          <w:szCs w:val="21"/>
        </w:rPr>
      </w:pPr>
      <w:r w:rsidRPr="000D3C71">
        <w:rPr>
          <w:rFonts w:ascii="Arial" w:hAnsi="Arial" w:cs="Arial"/>
          <w:szCs w:val="21"/>
          <w:lang w:val="en"/>
        </w:rPr>
        <w:t>2. The Fund Custodian shall keep the Fund Property in safe custody and, without proper instructions from the Fund Manager, shall not independently use, dispose of, or allocate any part of the Fund Property.</w:t>
      </w:r>
    </w:p>
    <w:p w14:paraId="549C7910"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3. The Fund Custodian shall open cash and securities accounts for the Fund Property in accordance with relevant regulations.</w:t>
      </w:r>
    </w:p>
    <w:p w14:paraId="11DD3810"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4. The Fund Custodian shall open separate accounts for each Fund Property under its custody and ensure that these accounts remain fully segregated from its other businesses as well as from the custody operations of other funds, thereby safeguarding the Fund Property’s integrity and independence.</w:t>
      </w:r>
    </w:p>
    <w:p w14:paraId="6EBC867E"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5. For any receivables arising from Fund subscriptions (creations) or investments that have not reached the Fund Custodian by the due date, the Fund Custodian shall promptly notify the Fund Manager to take collection measures. If the Fund incurs any loss as a result, the Fund Manager shall be responsible for seeking recovery from the relevant counterparties, and the Fund Custodian shall not be liable therefor.</w:t>
      </w:r>
    </w:p>
    <w:p w14:paraId="518070F4"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(II) Verification of Offering Proceeds</w:t>
      </w:r>
    </w:p>
    <w:p w14:paraId="477A311C"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During the Offering Period, distributors shall, in accordance with the sales and service agency agreement, transfer subscription proceeds into the dedicated subscription account opened and managed by the Fund Manager. Upon completion of the offline stock subscription, the Registration and Clearing Agency shall, based on information provided by the Fund Manager, freeze the subscribed shares. When the Offering Period concludes and the total number of Fund Units offered, the total amount raised, and the number of Fund Unitholders satisfy the provisions of the Fund Law, the Measures for Fund Operations, and other applicable laws and regulations, the Fund Manager shall engage an accounting firm qualified to conduct securities-related business to conduct capital verification and issue a verification report. The report shall be valid only if signed by two or more Chinese Certified Public Accountants who participated in the verification. Upon completion, the Fund Manager shall transfer all funds belonging to the Fund Property into the dedicated asset custody account opened by the Fund Custodian for the Fund. The Fund Custodian shall issue a confirmation letter on the day it receives the funds.</w:t>
      </w:r>
    </w:p>
    <w:p w14:paraId="35BACB4D" w14:textId="77777777" w:rsidR="00F06FB6" w:rsidRPr="000D3C71" w:rsidRDefault="00953439">
      <w:pPr>
        <w:pStyle w:val="BodyTextIndent"/>
        <w:spacing w:after="0" w:line="360" w:lineRule="auto"/>
        <w:ind w:leftChars="6" w:left="13" w:firstLineChars="200" w:firstLine="420"/>
        <w:rPr>
          <w:rFonts w:ascii="Arial" w:hAnsi="Arial" w:cs="Arial"/>
        </w:rPr>
      </w:pPr>
      <w:r w:rsidRPr="000D3C71">
        <w:rPr>
          <w:rFonts w:ascii="Arial" w:hAnsi="Arial" w:cs="Arial"/>
          <w:lang w:val="en"/>
        </w:rPr>
        <w:t>If, upon expiry of the Offering Period, the conditions for the Fund Contract to become effective are not met, the Fund Manager shall process refunds in accordance with applicable regulations.</w:t>
      </w:r>
    </w:p>
    <w:p w14:paraId="5A16116D" w14:textId="77777777" w:rsidR="00F06FB6" w:rsidRPr="000D3C71" w:rsidRDefault="00953439">
      <w:pPr>
        <w:pStyle w:val="BodyTextIndent"/>
        <w:spacing w:after="0" w:line="360" w:lineRule="auto"/>
        <w:ind w:leftChars="6" w:left="13" w:firstLineChars="200" w:firstLine="420"/>
        <w:rPr>
          <w:rFonts w:ascii="Arial" w:hAnsi="Arial" w:cs="Arial"/>
        </w:rPr>
      </w:pPr>
      <w:r w:rsidRPr="000D3C71">
        <w:rPr>
          <w:rFonts w:ascii="Arial" w:hAnsi="Arial" w:cs="Arial"/>
          <w:lang w:val="en"/>
        </w:rPr>
        <w:t>(III) Opening and Management of the Fund’s Bank Accounts</w:t>
      </w:r>
    </w:p>
    <w:p w14:paraId="1BA7753E"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 Fund Custodian shall open, in its own name at its business branch, a dedicated asset custody account to hold the Fund’s bank deposits, which account shall be both opened and administered by the Fund Custodian. All monetary receipts and payments relating to the Fund shall be processed solely through this dedicated account.</w:t>
      </w:r>
    </w:p>
    <w:p w14:paraId="02497B8E"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 opening and use of the dedicated asset custody account shall be limited strictly to the needs of the Fund’s business. The Fund Custodian and the Fund Manager shall not open any other bank account under the guise of the Fund’s name, nor shall they use any bank account of the Fund for activities outside the Fund’s business scope.</w:t>
      </w:r>
    </w:p>
    <w:p w14:paraId="5815BA9F"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 management of the account shall comply with the Measures for the Administration of RMB Bank Settlement Accounts, the Interim Regulations on Cash Management, the Provisions on the Administration of RMB Interest Rates, the Interim Provisions on Interest Rate Management, the Measures for Payment and Settlement, and other rules issued by the Banking Regulatory Authority.</w:t>
      </w:r>
    </w:p>
    <w:p w14:paraId="54A53CE8"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(IV) Opening and Management of Securities Accounts and Securities Trading Cash Accounts</w:t>
      </w:r>
    </w:p>
    <w:p w14:paraId="621E6446"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 Fund Custodian shall open securities accounts, in the joint names of the Fund Custodian and the Fund, with the China Securities Depository and Clearing Corporation Limited Shanghai/Shenzhen Branch.</w:t>
      </w:r>
    </w:p>
    <w:p w14:paraId="42F9C305"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 Fund Custodian shall, in its own name, open a securities trading cash account with the same institution for purposes of securities settlement.</w:t>
      </w:r>
    </w:p>
    <w:p w14:paraId="02BB7EBF"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These accounts shall be used solely for the conduct of the Fund’s business. The Fund Custodian and the Fund Manager shall not lend or, without the other party’s prior consent, transfer any of the Fund’s securities accounts, nor use such accounts for activities beyond the Fund’s business scope.</w:t>
      </w:r>
    </w:p>
    <w:p w14:paraId="6DFA1663"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(V) Opening and Management of Bond Custody Accounts</w:t>
      </w:r>
    </w:p>
    <w:p w14:paraId="2E39CC3A"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1. After the Fund Contract becomes effective, the Fund Manager shall apply for and obtain trading qualifications on the national interbank market in the Fund’s name and execute transactions on behalf of the Fund. The Fund Custodian shall open, in the Fund’s name, proprietary bond custody accounts for the interbank bond market with China Central Depository &amp; Clearing Co., Ltd. and Shanghai Clearing House, and shall be responsible for back</w:t>
      </w:r>
      <w:r w:rsidRPr="000D3C71">
        <w:rPr>
          <w:rFonts w:ascii="Arial" w:hAnsi="Arial" w:cs="Arial"/>
          <w:szCs w:val="21"/>
          <w:lang w:val="en"/>
        </w:rPr>
        <w:noBreakHyphen/>
        <w:t>office matching and fund clearing in relation to the Fund’s bond transactions.</w:t>
      </w:r>
    </w:p>
    <w:p w14:paraId="7A5CAC00"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2. The Fund Manager and the Fund Custodian shall jointly execute the Master Repurchase Agreement for the National Interbank Bond Market on behalf of the Fund. The original shall be kept by the Fund Custodian, and a copy shall be retained by the Fund Manager.</w:t>
      </w:r>
    </w:p>
    <w:p w14:paraId="503F8186"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(VI) Opening and Management of Other Accounts</w:t>
      </w:r>
    </w:p>
    <w:p w14:paraId="2F58BF88"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After the date of execution of this Custody Agreement, if the Fund becomes permitted to invest in additional investment products in accordance with laws and regulations and the Fund Contract, and such activities require the opening of other accounts, the Fund Manager shall assist the Custodian in opening such accounts in accordance with relevant laws and regulations and the Fund Contract. Such accounts shall be used and managed in accordance with applicable rules.</w:t>
      </w:r>
    </w:p>
    <w:p w14:paraId="7AB893AD"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(VII) Custody of Physical Securities, Certificates of Deposits, and Other Negotiable Instruments</w:t>
      </w:r>
    </w:p>
    <w:p w14:paraId="16065ACC"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Physical securities acquired through the Fund’s investments shall be kept in the Fund Custodian’s vault. Such securities may also be held in the depository of China Central Depository &amp; Clearing Co., Ltd., the China Securities Depository and Clearing Corporation Limited Shanghai/Shenzhen Branch, or a commercial paper clearing center. Purchases and transfers of such securities shall be executed by the Fund Custodian pursuant to the Fund Manager’s instructions. The Fund Custodian shall be liable for any damage to or loss of the physical securities under its actual and effective control during the custody period. It shall not, however, bear custody liability for securities held under the actual control or custody of other institutions.</w:t>
      </w:r>
    </w:p>
    <w:p w14:paraId="0CD5FCD5"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(VIII) Custody of Material Contracts Relating to Fund Property</w:t>
      </w:r>
    </w:p>
    <w:p w14:paraId="08513E1D"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Originals of material contracts executed by the Fund Manager on behalf of the Fund shall be kept separately by both the Fund Custodian and the Fund Manager. Unless otherwise provided in this Agreement, the Fund Manager shall ensure at least two originals are executed so that each party retains one original. The Fund Manager shall deliver the Custodian’s original within five business days of execution by secure means such as personal delivery or registered mail. Each original shall be kept in the document retention departments of both parties for no less than fifteen (15) years.</w:t>
      </w:r>
    </w:p>
    <w:p w14:paraId="2FC8A3FF" w14:textId="77777777" w:rsidR="00F06FB6" w:rsidRPr="000D3C71" w:rsidRDefault="00953439" w:rsidP="00161B8A">
      <w:pPr>
        <w:pStyle w:val="affd"/>
        <w:spacing w:line="360" w:lineRule="auto"/>
        <w:ind w:left="422" w:right="26"/>
        <w:jc w:val="left"/>
        <w:rPr>
          <w:rFonts w:ascii="Arial" w:hAnsi="Arial" w:cs="Arial"/>
          <w:bCs/>
        </w:rPr>
      </w:pPr>
      <w:r w:rsidRPr="000D3C71">
        <w:rPr>
          <w:rFonts w:ascii="Arial" w:hAnsi="Arial" w:cs="Arial"/>
          <w:lang w:val="en"/>
        </w:rPr>
        <w:t>VIII. NAV Calculation and Accounting</w:t>
      </w:r>
    </w:p>
    <w:p w14:paraId="3F482FB9" w14:textId="77777777" w:rsidR="00F06FB6"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NAV of the Fund is the Total Asset Value of the Fund less its liabilities. The NAV per Unit is the Fund’s NAV on a calculation day divided by the total number of Fund Units on that day. The figure shall be calculated to four decimal places, with rounding at the fifth decimal, and any resulting discrepancy shall be credited to the Fund Property.</w:t>
      </w:r>
    </w:p>
    <w:p w14:paraId="4F5BADFD" w14:textId="77777777" w:rsidR="00F06FB6"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Fund Manager shall value the Fund’s assets on each business day in accordance with the Fund Contract, the Guidance on Accounting for Securities Investment Funds, and other applicable laws and regulations. The Fund Manager shall compute, and the Fund Custodian shall review, the NAV information used for information disclosure. After trading closes each business day, the Fund Manager shall calculate the day’s NAV of the Fund and send it to the Fund Custodian through a mutually agreed mechanism. Following its review, the Fund Custodian shall return the confirmed results to the Fund Manager, who shall then publish the NAV.</w:t>
      </w:r>
    </w:p>
    <w:p w14:paraId="0B2E9E54" w14:textId="77777777" w:rsidR="00F06FB6"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Pursuant to the Fund Law, the Fund Manager is the accounting party responsible for calculating and disclosing the Fund’s NAV, while the Fund Custodian reviews and verifies such calculations. Consequently, if the parties, after full and equal consultation, cannot reach agreement on any accounting matter, the Fund Manager’s calculation shall prevail for disclosure purposes. Where mandatory provisions of laws and regulations or supervisory authorities apply, such provisions shall take precedence. Any new valuation matters shall be handled in accordance with the latest national regulations.</w:t>
      </w:r>
    </w:p>
    <w:p w14:paraId="167CA0B5" w14:textId="77777777" w:rsidR="00F06FB6" w:rsidRPr="000D3C71" w:rsidRDefault="00953439" w:rsidP="00161B8A">
      <w:pPr>
        <w:pStyle w:val="affd"/>
        <w:spacing w:line="360" w:lineRule="auto"/>
        <w:ind w:left="422" w:right="26"/>
        <w:jc w:val="left"/>
        <w:rPr>
          <w:rFonts w:ascii="Arial" w:hAnsi="Arial" w:cs="Arial"/>
          <w:szCs w:val="21"/>
        </w:rPr>
      </w:pPr>
      <w:r w:rsidRPr="000D3C71">
        <w:rPr>
          <w:rFonts w:ascii="Arial" w:hAnsi="Arial" w:cs="Arial"/>
          <w:lang w:val="en"/>
        </w:rPr>
        <w:t>XII. Custody of the Register of Fund Unitholders</w:t>
      </w:r>
    </w:p>
    <w:p w14:paraId="462E0F54" w14:textId="77777777" w:rsidR="00F06FB6"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Fund Manager and the Fund Custodian shall each properly maintain a Register of Fund Unitholders, including those as of the Fund Contract Effective Date, Fund Contract Termination Date, record date for rights in a Fund Unitholders’ meeting, and each June 30 and December 31. The Register shall specify the name of each Fund Unitholder and the number of Fund Units held.</w:t>
      </w:r>
    </w:p>
    <w:p w14:paraId="700EDF9B" w14:textId="77777777" w:rsidR="00F06FB6"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Register shall be compiled and kept by the Fund's Registration and Clearing Agency under the Fund Manager’s instructions, and both the Fund Manager and the Fund Custodian shall each maintain copies thereof in accordance with prevailing rules. The Register may be kept in electronic or hard</w:t>
      </w:r>
      <w:r w:rsidRPr="000D3C71">
        <w:rPr>
          <w:rFonts w:ascii="Arial" w:hAnsi="Arial" w:cs="Arial"/>
          <w:szCs w:val="21"/>
          <w:lang w:val="en"/>
        </w:rPr>
        <w:noBreakHyphen/>
        <w:t>copy form for a retention period of fifteen (15) years.</w:t>
      </w:r>
    </w:p>
    <w:p w14:paraId="05A53233" w14:textId="77777777" w:rsidR="00F06FB6" w:rsidRPr="000D3C71" w:rsidRDefault="00953439" w:rsidP="00DF628C">
      <w:pPr>
        <w:pStyle w:val="affd"/>
        <w:spacing w:line="360" w:lineRule="auto"/>
        <w:ind w:firstLineChars="200" w:firstLine="420"/>
        <w:rPr>
          <w:rFonts w:ascii="Arial" w:hAnsi="Arial" w:cs="Arial"/>
          <w:szCs w:val="21"/>
        </w:rPr>
      </w:pPr>
      <w:r w:rsidRPr="000D3C71">
        <w:rPr>
          <w:rFonts w:ascii="Arial" w:hAnsi="Arial" w:cs="Arial"/>
          <w:szCs w:val="21"/>
          <w:lang w:val="en"/>
        </w:rPr>
        <w:t>The Fund Manager shall submit the Registers for the aforementioned dates to the Fund Custodian within the required time limits—by the tenth business day of the following month for the year</w:t>
      </w:r>
      <w:r w:rsidRPr="000D3C71">
        <w:rPr>
          <w:rFonts w:ascii="Arial" w:hAnsi="Arial" w:cs="Arial"/>
          <w:szCs w:val="21"/>
          <w:lang w:val="en"/>
        </w:rPr>
        <w:noBreakHyphen/>
        <w:t>end register, and within ten (10) business days after the occurrence date for other significant events.</w:t>
      </w:r>
    </w:p>
    <w:p w14:paraId="2D838FCB"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The Fund Custodian shall maintain the register in electronic form, periodically back up the data onto optical media, and retain it for fifteen (15) years. The Fund Custodian shall keep such information confidential and not use it for any non</w:t>
      </w:r>
      <w:r w:rsidRPr="000D3C71">
        <w:rPr>
          <w:rFonts w:ascii="Arial" w:hAnsi="Arial" w:cs="Arial"/>
          <w:szCs w:val="21"/>
          <w:lang w:val="en"/>
        </w:rPr>
        <w:noBreakHyphen/>
        <w:t>custody purposes.</w:t>
      </w:r>
    </w:p>
    <w:p w14:paraId="2B301A3E"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If either the Fund Manager or the Fund Custodian fails to maintain the Register properly due to its own fault, it shall bear responsibility in accordance with applicable laws and regulations.</w:t>
      </w:r>
    </w:p>
    <w:p w14:paraId="6F6B788A" w14:textId="77777777" w:rsidR="00F06FB6" w:rsidRPr="000D3C71" w:rsidRDefault="00953439">
      <w:pPr>
        <w:pStyle w:val="affd"/>
        <w:spacing w:line="360" w:lineRule="auto"/>
        <w:ind w:right="26" w:firstLineChars="200" w:firstLine="420"/>
        <w:jc w:val="left"/>
        <w:rPr>
          <w:rFonts w:ascii="Arial" w:hAnsi="Arial" w:cs="Arial"/>
          <w:bCs/>
        </w:rPr>
      </w:pPr>
      <w:r w:rsidRPr="000D3C71">
        <w:rPr>
          <w:rFonts w:ascii="Arial" w:hAnsi="Arial" w:cs="Arial"/>
          <w:lang w:val="en"/>
        </w:rPr>
        <w:t>XVI. Amendment and Termination of the Fund Custody Agreement and Liquidation of Fund Property</w:t>
      </w:r>
    </w:p>
    <w:p w14:paraId="08FC32EF"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1. Procedures for Amendment</w:t>
      </w:r>
    </w:p>
    <w:p w14:paraId="4E3AA469" w14:textId="77777777" w:rsidR="00F06FB6" w:rsidRPr="000D3C71" w:rsidRDefault="00953439">
      <w:pPr>
        <w:pStyle w:val="affd"/>
        <w:autoSpaceDE w:val="0"/>
        <w:autoSpaceDN w:val="0"/>
        <w:adjustRightInd w:val="0"/>
        <w:spacing w:line="360" w:lineRule="auto"/>
        <w:ind w:firstLineChars="200" w:firstLine="444"/>
        <w:jc w:val="left"/>
        <w:rPr>
          <w:rFonts w:ascii="Arial" w:hAnsi="Arial" w:cs="Arial"/>
          <w:spacing w:val="6"/>
          <w:szCs w:val="21"/>
        </w:rPr>
      </w:pPr>
      <w:r w:rsidRPr="000D3C71">
        <w:rPr>
          <w:rFonts w:ascii="Arial" w:hAnsi="Arial" w:cs="Arial"/>
          <w:szCs w:val="21"/>
          <w:lang w:val="en"/>
        </w:rPr>
        <w:t>The parties may amend this Custody Agreement by mutual consent, provided that the amended terms do not conflict with the Fund Contract. Any amendment shall become effective upon approval by the CSRC.</w:t>
      </w:r>
    </w:p>
    <w:p w14:paraId="3AC222B7"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2. Circumstances for Termination</w:t>
      </w:r>
    </w:p>
    <w:p w14:paraId="44BAA6C3"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This Custody Agreement shall terminate upon the occurrence of any of the following:</w:t>
      </w:r>
    </w:p>
    <w:p w14:paraId="479C7057"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(1) termination of the Fund Contract;</w:t>
      </w:r>
    </w:p>
    <w:p w14:paraId="578E89DA"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(2) dissolution, revocation according to law, or bankruptcy of the Fund Custodian, or appointment of another custodian to take over the Fund’s assets;</w:t>
      </w:r>
    </w:p>
    <w:p w14:paraId="124B5EA5" w14:textId="77777777" w:rsidR="00F06FB6"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(3) dissolution, revocation according to law, or bankruptcy of the Fund Manager, or appointment of another manager to assume management of the Fund; or</w:t>
      </w:r>
    </w:p>
    <w:p w14:paraId="707A8960" w14:textId="77777777" w:rsidR="006E7B21" w:rsidRPr="000D3C71" w:rsidRDefault="00953439">
      <w:pPr>
        <w:pStyle w:val="affd"/>
        <w:spacing w:line="360" w:lineRule="auto"/>
        <w:ind w:firstLineChars="200" w:firstLine="420"/>
        <w:rPr>
          <w:rFonts w:ascii="Arial" w:hAnsi="Arial" w:cs="Arial"/>
          <w:szCs w:val="21"/>
        </w:rPr>
      </w:pPr>
      <w:r w:rsidRPr="000D3C71">
        <w:rPr>
          <w:rFonts w:ascii="Arial" w:hAnsi="Arial" w:cs="Arial"/>
          <w:szCs w:val="21"/>
          <w:lang w:val="en"/>
        </w:rPr>
        <w:t>(4) any termination event specified in applicable laws and regulations or in the Fund Contract.</w:t>
      </w:r>
    </w:p>
    <w:p w14:paraId="27F512E0" w14:textId="77777777" w:rsidR="006E7B21" w:rsidRPr="000D3C71" w:rsidRDefault="00953439" w:rsidP="006E7B21">
      <w:pPr>
        <w:pStyle w:val="affd"/>
        <w:spacing w:line="360" w:lineRule="auto"/>
        <w:ind w:left="422" w:right="26"/>
        <w:jc w:val="left"/>
        <w:rPr>
          <w:rFonts w:ascii="Arial" w:hAnsi="Arial" w:cs="Arial"/>
          <w:bCs/>
        </w:rPr>
      </w:pPr>
      <w:r w:rsidRPr="000D3C71">
        <w:rPr>
          <w:rFonts w:ascii="Arial" w:hAnsi="Arial" w:cs="Arial"/>
          <w:lang w:val="en"/>
        </w:rPr>
        <w:t>XVIII. Dispute Resolution</w:t>
      </w:r>
    </w:p>
    <w:p w14:paraId="7FE1DD88" w14:textId="77777777" w:rsidR="006E7B21"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The parties agree that any dispute arising out of or in connection with this Agreement that cannot be resolved amicably shall be submitted to the China International Economic and Trade Arbitration Commission (CIETAC) for arbitration in Beijing in accordance with its then</w:t>
      </w:r>
      <w:r w:rsidRPr="000D3C71">
        <w:rPr>
          <w:rFonts w:ascii="Arial" w:hAnsi="Arial" w:cs="Arial"/>
          <w:szCs w:val="21"/>
          <w:lang w:val="en"/>
        </w:rPr>
        <w:noBreakHyphen/>
        <w:t>effective arbitration rules. The arbitral award shall be final and binding on all parties, and arbitration costs shall be borne by the losing party.</w:t>
      </w:r>
    </w:p>
    <w:p w14:paraId="16FCB986" w14:textId="77777777" w:rsidR="006E7B21" w:rsidRPr="000D3C71" w:rsidRDefault="00953439" w:rsidP="00503FB4">
      <w:pPr>
        <w:pStyle w:val="affd"/>
        <w:spacing w:line="360" w:lineRule="auto"/>
        <w:ind w:firstLineChars="200" w:firstLine="420"/>
        <w:rPr>
          <w:rFonts w:ascii="Arial" w:hAnsi="Arial" w:cs="Arial"/>
          <w:szCs w:val="21"/>
        </w:rPr>
      </w:pPr>
      <w:r w:rsidRPr="000D3C71">
        <w:rPr>
          <w:rFonts w:ascii="Arial" w:hAnsi="Arial" w:cs="Arial"/>
          <w:szCs w:val="21"/>
          <w:lang w:val="en"/>
        </w:rPr>
        <w:t>During the dispute resolution process, the parties shall continue to diligently fulfill their respective duties as Fund Manager and Fund Custodian under the Fund Contract and this Custody Agreement, thereby safeguarding the lawful rights and interests of the Fund Unitholders.</w:t>
      </w:r>
    </w:p>
    <w:p w14:paraId="7865FAC1" w14:textId="77777777" w:rsidR="0081561B" w:rsidRPr="000D3C71" w:rsidRDefault="00953439" w:rsidP="00DF628C">
      <w:pPr>
        <w:pStyle w:val="affd"/>
        <w:spacing w:line="360" w:lineRule="auto"/>
        <w:ind w:right="26" w:firstLineChars="150" w:firstLine="315"/>
        <w:rPr>
          <w:rFonts w:ascii="Arial" w:hAnsi="Arial" w:cs="Arial"/>
        </w:rPr>
      </w:pPr>
      <w:r w:rsidRPr="000D3C71">
        <w:rPr>
          <w:rFonts w:ascii="Arial" w:hAnsi="Arial" w:cs="Arial"/>
          <w:szCs w:val="21"/>
          <w:lang w:val="en"/>
        </w:rPr>
        <w:t>This Agreement shall be governed by the laws of the People’s Republic of China.”</w:t>
      </w:r>
    </w:p>
    <w:p w14:paraId="7B51BD57" w14:textId="77777777" w:rsidR="0081561B" w:rsidRPr="000D3C71" w:rsidRDefault="00953439" w:rsidP="002C372A">
      <w:pPr>
        <w:pStyle w:val="Heading3"/>
        <w:rPr>
          <w:rFonts w:ascii="Arial" w:hAnsi="Arial" w:cs="Arial"/>
        </w:rPr>
      </w:pPr>
      <w:bookmarkStart w:id="161" w:name="_Toc340435606"/>
      <w:bookmarkStart w:id="162" w:name="_Toc340435538"/>
      <w:bookmarkStart w:id="163" w:name="_Toc329633106"/>
      <w:bookmarkStart w:id="164" w:name="_Toc127083936"/>
      <w:bookmarkStart w:id="165" w:name="_Toc211640961"/>
      <w:r w:rsidRPr="000D3C71">
        <w:rPr>
          <w:rFonts w:ascii="Arial" w:hAnsi="Arial" w:cs="Arial"/>
          <w:bCs/>
          <w:lang w:val="en"/>
        </w:rPr>
        <w:t>XXII. Services for Fund Unitholders</w:t>
      </w:r>
      <w:bookmarkEnd w:id="161"/>
      <w:bookmarkEnd w:id="162"/>
      <w:bookmarkEnd w:id="163"/>
      <w:bookmarkEnd w:id="164"/>
      <w:bookmarkEnd w:id="165"/>
    </w:p>
    <w:p w14:paraId="09D99CEF" w14:textId="77777777" w:rsidR="00824725" w:rsidRPr="000D3C71" w:rsidRDefault="00953439">
      <w:pPr>
        <w:pStyle w:val="a"/>
        <w:spacing w:line="360" w:lineRule="auto"/>
        <w:ind w:firstLineChars="200" w:firstLine="420"/>
        <w:rPr>
          <w:rFonts w:ascii="Arial" w:hAnsi="Arial" w:cs="Arial"/>
          <w:color w:val="008000"/>
        </w:rPr>
      </w:pPr>
      <w:r w:rsidRPr="000D3C71">
        <w:rPr>
          <w:rFonts w:ascii="Arial" w:hAnsi="Arial" w:cs="Arial"/>
          <w:lang w:val="en"/>
        </w:rPr>
        <w:t>Services for Fund Unitholders are provided primarily by the Fund Manager and authorized participants.</w:t>
      </w:r>
    </w:p>
    <w:p w14:paraId="7C6626B5" w14:textId="77777777" w:rsidR="00824725" w:rsidRPr="000D3C71" w:rsidRDefault="00953439">
      <w:pPr>
        <w:pStyle w:val="a"/>
        <w:spacing w:line="360" w:lineRule="auto"/>
        <w:ind w:firstLineChars="200" w:firstLine="420"/>
        <w:rPr>
          <w:rFonts w:ascii="Arial" w:hAnsi="Arial" w:cs="Arial"/>
          <w:color w:val="000000"/>
        </w:rPr>
      </w:pPr>
      <w:r w:rsidRPr="000D3C71">
        <w:rPr>
          <w:rFonts w:ascii="Arial" w:hAnsi="Arial" w:cs="Arial"/>
          <w:color w:val="000000"/>
          <w:lang w:val="en"/>
        </w:rPr>
        <w:t>The principal services offered by the Fund Manager are as follows:</w:t>
      </w:r>
    </w:p>
    <w:p w14:paraId="75E7DC32"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(I) Call Center</w:t>
      </w:r>
    </w:p>
    <w:p w14:paraId="5AF76079"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1. Automated Voice Service</w:t>
      </w:r>
    </w:p>
    <w:p w14:paraId="5F3CFAF7"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A 24/7 automated voice response is available, allowing clients to obtain information on current topics, the NAV per Unit, and other relevant matters by telephone.</w:t>
      </w:r>
    </w:p>
    <w:p w14:paraId="4174BCFB"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2. Representative Service</w:t>
      </w:r>
    </w:p>
    <w:p w14:paraId="3682CE90"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Live agent telephone service is available seven days a week. Service hours are from 8:30 to 21:00, Monday through Friday, and from 8:30 to 17:00, Saturday and Sunday (excluding public holidays).</w:t>
      </w:r>
    </w:p>
    <w:p w14:paraId="533B3AEF"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Customer Service Hotline: 400-818-6666</w:t>
      </w:r>
    </w:p>
    <w:p w14:paraId="2250CDC0"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Customer Service Fax: 010</w:t>
      </w:r>
      <w:r w:rsidRPr="000D3C71">
        <w:rPr>
          <w:rFonts w:ascii="Arial" w:hAnsi="Arial" w:cs="Arial"/>
          <w:lang w:val="en"/>
        </w:rPr>
        <w:noBreakHyphen/>
        <w:t>63136700</w:t>
      </w:r>
    </w:p>
    <w:p w14:paraId="10F1F9F2"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(II) Online Services</w:t>
      </w:r>
    </w:p>
    <w:p w14:paraId="2E0E7F6C"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Investors may access online services through the Fund Manager’s official website, mobile app, official WeChat account, and mobile-friendly website.</w:t>
      </w:r>
    </w:p>
    <w:p w14:paraId="7D3B2926"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1. Self</w:t>
      </w:r>
      <w:r w:rsidRPr="000D3C71">
        <w:rPr>
          <w:rFonts w:ascii="Arial" w:hAnsi="Arial" w:cs="Arial"/>
          <w:lang w:val="en"/>
        </w:rPr>
        <w:noBreakHyphen/>
        <w:t>Service</w:t>
      </w:r>
    </w:p>
    <w:p w14:paraId="61A68B9E"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The online customer service platform provides 24/7 self</w:t>
      </w:r>
      <w:r w:rsidRPr="000D3C71">
        <w:rPr>
          <w:rFonts w:ascii="Arial" w:hAnsi="Arial" w:cs="Arial"/>
          <w:lang w:val="en"/>
        </w:rPr>
        <w:noBreakHyphen/>
        <w:t>service functions, enabling investors to inquire about frequently asked questions, business rules, the NAV per Unit, and other information.</w:t>
      </w:r>
    </w:p>
    <w:p w14:paraId="4D470D21"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2. Representative Service</w:t>
      </w:r>
    </w:p>
    <w:p w14:paraId="39CF97EF"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Live online customer service is available from 8:30 to 21:00, Monday through Friday, and from 8:30 to 17:00, Saturday and Sunday (excluding public holidays).</w:t>
      </w:r>
    </w:p>
    <w:p w14:paraId="6C0489B5"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3. Information Services</w:t>
      </w:r>
    </w:p>
    <w:p w14:paraId="0523D573"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Investors may access various types of information about the Fund and the Fund Manager on the company’s website, including fund legal documents, the Fund Manager’s latest updates, and frequently discussed topics.</w:t>
      </w:r>
    </w:p>
    <w:p w14:paraId="4AC05772"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Company Website: www.ChinaAMC.com</w:t>
      </w:r>
    </w:p>
    <w:p w14:paraId="4FE792DF"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E</w:t>
      </w:r>
      <w:r w:rsidRPr="000D3C71">
        <w:rPr>
          <w:rFonts w:ascii="Arial" w:hAnsi="Arial" w:cs="Arial"/>
          <w:lang w:val="en"/>
        </w:rPr>
        <w:noBreakHyphen/>
        <w:t>mail: service@ChinaAMC.com</w:t>
      </w:r>
    </w:p>
    <w:p w14:paraId="01FA426B"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(III) Handling of Customer Complaints and Suggestions</w:t>
      </w:r>
    </w:p>
    <w:p w14:paraId="78D2A855" w14:textId="77777777" w:rsidR="00824725" w:rsidRPr="000D3C71" w:rsidRDefault="00953439">
      <w:pPr>
        <w:pStyle w:val="a"/>
        <w:spacing w:line="360" w:lineRule="auto"/>
        <w:ind w:firstLineChars="200" w:firstLine="420"/>
        <w:rPr>
          <w:rFonts w:ascii="Arial" w:hAnsi="Arial" w:cs="Arial"/>
        </w:rPr>
      </w:pPr>
      <w:r w:rsidRPr="000D3C71">
        <w:rPr>
          <w:rFonts w:ascii="Arial" w:hAnsi="Arial" w:cs="Arial"/>
          <w:lang w:val="en"/>
        </w:rPr>
        <w:t>Investors may submit complaints or suggestions regarding services provided by the Fund Manager through channels such as the call center’s live agent service, online customer service, postal mail, e</w:t>
      </w:r>
      <w:r w:rsidRPr="000D3C71">
        <w:rPr>
          <w:rFonts w:ascii="Arial" w:hAnsi="Arial" w:cs="Arial"/>
          <w:lang w:val="en"/>
        </w:rPr>
        <w:noBreakHyphen/>
        <w:t>mail, or fax. Investors may also submit complaints or suggestions concerning services rendered by any authorized participant through that participant’s service hotline.</w:t>
      </w:r>
    </w:p>
    <w:p w14:paraId="4490BE31" w14:textId="77777777" w:rsidR="00F06FB6" w:rsidRPr="000D3C71" w:rsidRDefault="00953439" w:rsidP="00F06FB6">
      <w:pPr>
        <w:pStyle w:val="Heading3"/>
        <w:rPr>
          <w:rFonts w:ascii="Arial" w:hAnsi="Arial" w:cs="Arial"/>
        </w:rPr>
      </w:pPr>
      <w:bookmarkStart w:id="166" w:name="_Toc349857735"/>
      <w:bookmarkStart w:id="167" w:name="_Toc234722745"/>
      <w:bookmarkStart w:id="168" w:name="_Toc127083938"/>
      <w:bookmarkStart w:id="169" w:name="_Toc329633107"/>
      <w:bookmarkStart w:id="170" w:name="_Toc340435539"/>
      <w:bookmarkStart w:id="171" w:name="_Toc340435607"/>
      <w:bookmarkStart w:id="172" w:name="_Toc211640962"/>
      <w:r w:rsidRPr="000D3C71">
        <w:rPr>
          <w:rFonts w:ascii="Arial" w:hAnsi="Arial" w:cs="Arial"/>
          <w:bCs/>
          <w:lang w:val="en"/>
        </w:rPr>
        <w:t>XXIII. Other Disclosable Matters</w:t>
      </w:r>
      <w:bookmarkEnd w:id="166"/>
      <w:bookmarkEnd w:id="167"/>
      <w:bookmarkEnd w:id="172"/>
    </w:p>
    <w:p w14:paraId="7FDD2B33" w14:textId="5FDFAA7B"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(I) July 18, 2024—ChinaAMC CSI 300 Exchange Traded Fund 2024 Second Quarter Report</w:t>
      </w:r>
    </w:p>
    <w:p w14:paraId="62CF35B7" w14:textId="229C1E88"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(II) August 30, 2024—ChinaAMC CSI 300 Exchange Traded Fund 2024 Semi-Annual Report</w:t>
      </w:r>
    </w:p>
    <w:p w14:paraId="424CA6CA" w14:textId="5A4C05D2"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(III) September 12, 2024—Announcement on Fund Investments in Securities Underwritten by Related Parties</w:t>
      </w:r>
    </w:p>
    <w:p w14:paraId="11A77026" w14:textId="31882EE5"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(IV) October 19, 2024—Announcement on Fund Investments in Securities Underwritten by Related Parties</w:t>
      </w:r>
    </w:p>
    <w:p w14:paraId="5F861055" w14:textId="507BC65B"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(V) October 25, 2024—ChinaAMC CSI 300 Exchange Traded Fund 2024 Third Quarter Report</w:t>
      </w:r>
    </w:p>
    <w:p w14:paraId="352D855D" w14:textId="37756F9E"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(VI) November 27, 2024—Announcement on the Change of Portfolio Manager of the ChinaAMC CSI 300 Exchange Traded Fund</w:t>
      </w:r>
    </w:p>
    <w:p w14:paraId="2E621D9F" w14:textId="2F47E315"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(VII) November 29, 2024—Announcement on Fund Investments in Securities Underwritten by Related Parties</w:t>
      </w:r>
    </w:p>
    <w:p w14:paraId="051738A1" w14:textId="73DF5892"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(VIII) December 3, 2024—Announcement on the Engagement of a New Accounting Firm for 102 Funds Under Its Management</w:t>
      </w:r>
    </w:p>
    <w:p w14:paraId="66E42020" w14:textId="5A55BEDE"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(IX) December 25, 2024—Announcement on Fund Investments in Securities Underwritten by Related Parties</w:t>
      </w:r>
    </w:p>
    <w:p w14:paraId="58B148D6" w14:textId="26881ECB"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(X) January 8, 2025—Profit Distribution Announcement for the ChinaAMC CSI 300 Exchange Traded Fund</w:t>
      </w:r>
    </w:p>
    <w:p w14:paraId="24441216" w14:textId="4F122AE9"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(XI) January 22, 2025—ChinaAMC CSI 300 Exchange Traded Fund 2024 Fourth Quarter Report</w:t>
      </w:r>
    </w:p>
    <w:p w14:paraId="62768F63" w14:textId="07050C55"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(XII) March 7, 2025—Announcement on Change of Office Address</w:t>
      </w:r>
    </w:p>
    <w:p w14:paraId="7967A80C" w14:textId="67B6CAA1"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(XIII) March 12, 2025—Announcement on Change of Business Premises for the Guangzhou Branch</w:t>
      </w:r>
    </w:p>
    <w:p w14:paraId="18A6C175" w14:textId="6A8873B4"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(XIV) March 14, 2025—Announcement on Fund Investments in Securities Underwritten by Related Parties</w:t>
      </w:r>
    </w:p>
    <w:p w14:paraId="50586AF6" w14:textId="0FCBABD7"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(XV) March 31, 2025—ChinaAMC CSI 300 Exchange Traded Fund 2024 Annual Report</w:t>
      </w:r>
    </w:p>
    <w:p w14:paraId="6B0C47D1" w14:textId="138C1CB8"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(XVI) April 12, 2025—Announcement on Fund Investments in Securities Underwritten by Related Parties</w:t>
      </w:r>
    </w:p>
    <w:p w14:paraId="512BFEB5" w14:textId="01366882"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(XVII) April 22, 2025—ChinaAMC CSI 300 Exchange Traded Fund 2025 First Quarter Report</w:t>
      </w:r>
    </w:p>
    <w:p w14:paraId="1FD7413E" w14:textId="1F53F668" w:rsidR="00824725" w:rsidRPr="000D3C71" w:rsidRDefault="00953439">
      <w:pPr>
        <w:autoSpaceDE w:val="0"/>
        <w:autoSpaceDN w:val="0"/>
        <w:adjustRightInd w:val="0"/>
        <w:spacing w:line="360" w:lineRule="auto"/>
        <w:ind w:firstLine="482"/>
        <w:rPr>
          <w:rFonts w:ascii="Arial" w:hAnsi="Arial" w:cs="Arial"/>
          <w:color w:val="000000"/>
        </w:rPr>
      </w:pPr>
      <w:r w:rsidRPr="000D3C71">
        <w:rPr>
          <w:rFonts w:ascii="Arial" w:hAnsi="Arial" w:cs="Arial"/>
          <w:color w:val="000000"/>
          <w:lang w:val="en"/>
        </w:rPr>
        <w:t>(XVIII) May 10, 2025—Announcement on Fund Investments in Securities Underwritten by Related Parties</w:t>
      </w:r>
    </w:p>
    <w:p w14:paraId="1FEEB90C" w14:textId="77777777" w:rsidR="0081561B" w:rsidRPr="000D3C71" w:rsidRDefault="00953439" w:rsidP="002C372A">
      <w:pPr>
        <w:pStyle w:val="Heading3"/>
        <w:rPr>
          <w:rFonts w:ascii="Arial" w:hAnsi="Arial" w:cs="Arial"/>
        </w:rPr>
      </w:pPr>
      <w:bookmarkStart w:id="173" w:name="_Toc211640963"/>
      <w:r w:rsidRPr="000D3C71">
        <w:rPr>
          <w:rFonts w:ascii="Arial" w:hAnsi="Arial" w:cs="Arial"/>
          <w:bCs/>
          <w:lang w:val="en"/>
        </w:rPr>
        <w:t>XXIV. Availability and Access to the Prospectus</w:t>
      </w:r>
      <w:bookmarkEnd w:id="151"/>
      <w:bookmarkEnd w:id="152"/>
      <w:bookmarkEnd w:id="168"/>
      <w:bookmarkEnd w:id="169"/>
      <w:bookmarkEnd w:id="170"/>
      <w:bookmarkEnd w:id="171"/>
      <w:bookmarkEnd w:id="173"/>
    </w:p>
    <w:p w14:paraId="243DCCD0" w14:textId="77777777" w:rsidR="0081561B" w:rsidRPr="000D3C71" w:rsidRDefault="00953439" w:rsidP="002C372A">
      <w:pPr>
        <w:pStyle w:val="af6"/>
        <w:tabs>
          <w:tab w:val="left" w:pos="3780"/>
        </w:tabs>
        <w:autoSpaceDE w:val="0"/>
        <w:autoSpaceDN w:val="0"/>
        <w:adjustRightInd w:val="0"/>
        <w:ind w:firstLineChars="0"/>
        <w:rPr>
          <w:rFonts w:ascii="Arial" w:hAnsi="Arial" w:cs="Arial"/>
          <w:szCs w:val="24"/>
        </w:rPr>
      </w:pPr>
      <w:r w:rsidRPr="000D3C71">
        <w:rPr>
          <w:rFonts w:ascii="Arial" w:hAnsi="Arial" w:cs="Arial"/>
          <w:szCs w:val="24"/>
          <w:lang w:val="en"/>
        </w:rPr>
        <w:t>This Prospectus is available for inspection free of charge at the offices and business premises of the Fund Manager. Upon payment of reasonable reproduction costs, investors may obtain copies of the document within a reasonable period.</w:t>
      </w:r>
    </w:p>
    <w:p w14:paraId="71E71E07" w14:textId="77777777" w:rsidR="0081561B" w:rsidRPr="000D3C71" w:rsidRDefault="00953439" w:rsidP="002C372A">
      <w:pPr>
        <w:pStyle w:val="af6"/>
        <w:tabs>
          <w:tab w:val="left" w:pos="3780"/>
        </w:tabs>
        <w:autoSpaceDE w:val="0"/>
        <w:autoSpaceDN w:val="0"/>
        <w:adjustRightInd w:val="0"/>
        <w:ind w:firstLineChars="0"/>
        <w:rPr>
          <w:rFonts w:ascii="Arial" w:hAnsi="Arial" w:cs="Arial"/>
          <w:szCs w:val="24"/>
        </w:rPr>
      </w:pPr>
      <w:r w:rsidRPr="000D3C71">
        <w:rPr>
          <w:rFonts w:ascii="Arial" w:hAnsi="Arial" w:cs="Arial"/>
          <w:szCs w:val="24"/>
          <w:lang w:val="en"/>
        </w:rPr>
        <w:t>The Fund Manager and the Fund Custodian guarantee that the contents of this text are entirely consistent with the contents of the officially published version.</w:t>
      </w:r>
    </w:p>
    <w:p w14:paraId="4A77E3E9" w14:textId="77777777" w:rsidR="0081561B" w:rsidRPr="000D3C71" w:rsidRDefault="00953439" w:rsidP="002C372A">
      <w:pPr>
        <w:pStyle w:val="Heading3"/>
        <w:rPr>
          <w:rFonts w:ascii="Arial" w:hAnsi="Arial" w:cs="Arial"/>
        </w:rPr>
      </w:pPr>
      <w:bookmarkStart w:id="174" w:name="_Toc340435608"/>
      <w:bookmarkStart w:id="175" w:name="_Toc340435540"/>
      <w:bookmarkStart w:id="176" w:name="_Toc329633108"/>
      <w:bookmarkStart w:id="177" w:name="_Toc127083939"/>
      <w:bookmarkStart w:id="178" w:name="_Toc63171765"/>
      <w:bookmarkStart w:id="179" w:name="_Toc530223199"/>
      <w:bookmarkStart w:id="180" w:name="_Toc211640964"/>
      <w:r w:rsidRPr="000D3C71">
        <w:rPr>
          <w:rFonts w:ascii="Arial" w:hAnsi="Arial" w:cs="Arial"/>
          <w:bCs/>
          <w:lang w:val="en"/>
        </w:rPr>
        <w:t>XXV. Documents Available for Inspection</w:t>
      </w:r>
      <w:bookmarkStart w:id="181" w:name="_Toc525454771"/>
      <w:bookmarkEnd w:id="174"/>
      <w:bookmarkEnd w:id="175"/>
      <w:bookmarkEnd w:id="176"/>
      <w:bookmarkEnd w:id="177"/>
      <w:bookmarkEnd w:id="178"/>
      <w:bookmarkEnd w:id="179"/>
      <w:bookmarkEnd w:id="180"/>
      <w:bookmarkEnd w:id="181"/>
    </w:p>
    <w:p w14:paraId="746F34BD" w14:textId="77777777" w:rsidR="0081561B" w:rsidRPr="000D3C71" w:rsidRDefault="00953439" w:rsidP="002C372A">
      <w:pPr>
        <w:pStyle w:val="affd"/>
        <w:tabs>
          <w:tab w:val="left" w:pos="3780"/>
        </w:tabs>
        <w:autoSpaceDE w:val="0"/>
        <w:autoSpaceDN w:val="0"/>
        <w:adjustRightInd w:val="0"/>
        <w:spacing w:line="360" w:lineRule="auto"/>
        <w:ind w:firstLine="420"/>
        <w:rPr>
          <w:rFonts w:ascii="Arial" w:hAnsi="Arial" w:cs="Arial"/>
        </w:rPr>
      </w:pPr>
      <w:r w:rsidRPr="000D3C71">
        <w:rPr>
          <w:rFonts w:ascii="Arial" w:hAnsi="Arial" w:cs="Arial"/>
          <w:lang w:val="en"/>
        </w:rPr>
        <w:t>(I) Catalogue of Documents for Inspection</w:t>
      </w:r>
    </w:p>
    <w:p w14:paraId="6947215B" w14:textId="77777777" w:rsidR="0081561B" w:rsidRPr="000D3C71" w:rsidRDefault="00953439" w:rsidP="002C372A">
      <w:pPr>
        <w:pStyle w:val="affd"/>
        <w:tabs>
          <w:tab w:val="left" w:pos="3780"/>
        </w:tabs>
        <w:autoSpaceDE w:val="0"/>
        <w:autoSpaceDN w:val="0"/>
        <w:adjustRightInd w:val="0"/>
        <w:spacing w:line="360" w:lineRule="auto"/>
        <w:ind w:firstLine="420"/>
        <w:rPr>
          <w:rFonts w:ascii="Arial" w:hAnsi="Arial" w:cs="Arial"/>
        </w:rPr>
      </w:pPr>
      <w:r w:rsidRPr="000D3C71">
        <w:rPr>
          <w:rFonts w:ascii="Arial" w:hAnsi="Arial" w:cs="Arial"/>
          <w:lang w:val="en"/>
        </w:rPr>
        <w:t>1. CSRC approval document authorizing the offering of the ChinaAMC CSI 300 Exchange Traded Fund.</w:t>
      </w:r>
    </w:p>
    <w:p w14:paraId="68D79312" w14:textId="77777777" w:rsidR="0081561B" w:rsidRPr="000D3C71" w:rsidRDefault="00953439" w:rsidP="002C372A">
      <w:pPr>
        <w:pStyle w:val="affd"/>
        <w:tabs>
          <w:tab w:val="left" w:pos="3780"/>
        </w:tabs>
        <w:autoSpaceDE w:val="0"/>
        <w:autoSpaceDN w:val="0"/>
        <w:adjustRightInd w:val="0"/>
        <w:spacing w:line="360" w:lineRule="auto"/>
        <w:ind w:firstLine="420"/>
        <w:rPr>
          <w:rFonts w:ascii="Arial" w:hAnsi="Arial" w:cs="Arial"/>
        </w:rPr>
      </w:pPr>
      <w:r w:rsidRPr="000D3C71">
        <w:rPr>
          <w:rFonts w:ascii="Arial" w:hAnsi="Arial" w:cs="Arial"/>
          <w:lang w:val="en"/>
        </w:rPr>
        <w:t>2. ChinaAMC CSI 300 Exchange Traded Fund Contract.</w:t>
      </w:r>
    </w:p>
    <w:p w14:paraId="313212C6" w14:textId="77777777" w:rsidR="0081561B" w:rsidRPr="000D3C71" w:rsidRDefault="00953439" w:rsidP="002C372A">
      <w:pPr>
        <w:pStyle w:val="affd"/>
        <w:tabs>
          <w:tab w:val="left" w:pos="3780"/>
        </w:tabs>
        <w:autoSpaceDE w:val="0"/>
        <w:autoSpaceDN w:val="0"/>
        <w:adjustRightInd w:val="0"/>
        <w:spacing w:line="360" w:lineRule="auto"/>
        <w:ind w:firstLine="420"/>
        <w:rPr>
          <w:rFonts w:ascii="Arial" w:hAnsi="Arial" w:cs="Arial"/>
        </w:rPr>
      </w:pPr>
      <w:r w:rsidRPr="000D3C71">
        <w:rPr>
          <w:rFonts w:ascii="Arial" w:hAnsi="Arial" w:cs="Arial"/>
          <w:lang w:val="en"/>
        </w:rPr>
        <w:t>3. ChinaAMC CSI 300 Exchange Traded Fund Custody Agreement.</w:t>
      </w:r>
    </w:p>
    <w:p w14:paraId="69070BB8" w14:textId="77777777" w:rsidR="0081561B" w:rsidRPr="000D3C71" w:rsidRDefault="00953439" w:rsidP="002C372A">
      <w:pPr>
        <w:pStyle w:val="af6"/>
        <w:tabs>
          <w:tab w:val="left" w:pos="3780"/>
        </w:tabs>
        <w:autoSpaceDE w:val="0"/>
        <w:autoSpaceDN w:val="0"/>
        <w:adjustRightInd w:val="0"/>
        <w:ind w:firstLineChars="0"/>
        <w:rPr>
          <w:rFonts w:ascii="Arial" w:hAnsi="Arial" w:cs="Arial"/>
          <w:szCs w:val="24"/>
        </w:rPr>
      </w:pPr>
      <w:r w:rsidRPr="000D3C71">
        <w:rPr>
          <w:rFonts w:ascii="Arial" w:hAnsi="Arial" w:cs="Arial"/>
          <w:szCs w:val="24"/>
          <w:lang w:val="en"/>
        </w:rPr>
        <w:t>4. Legal Opinion.</w:t>
      </w:r>
    </w:p>
    <w:p w14:paraId="4E599139" w14:textId="77777777" w:rsidR="0081561B" w:rsidRPr="000D3C71" w:rsidRDefault="00953439" w:rsidP="002C372A">
      <w:pPr>
        <w:pStyle w:val="affd"/>
        <w:tabs>
          <w:tab w:val="left" w:pos="3780"/>
        </w:tabs>
        <w:autoSpaceDE w:val="0"/>
        <w:autoSpaceDN w:val="0"/>
        <w:adjustRightInd w:val="0"/>
        <w:spacing w:line="360" w:lineRule="auto"/>
        <w:ind w:firstLine="420"/>
        <w:rPr>
          <w:rFonts w:ascii="Arial" w:hAnsi="Arial" w:cs="Arial"/>
        </w:rPr>
      </w:pPr>
      <w:r w:rsidRPr="000D3C71">
        <w:rPr>
          <w:rFonts w:ascii="Arial" w:hAnsi="Arial" w:cs="Arial"/>
          <w:lang w:val="en"/>
        </w:rPr>
        <w:t>5. The Fund Manager’s business qualification certificate(s) and business license.</w:t>
      </w:r>
    </w:p>
    <w:p w14:paraId="5D250974" w14:textId="77777777" w:rsidR="0081561B" w:rsidRPr="000D3C71" w:rsidRDefault="00953439" w:rsidP="002C372A">
      <w:pPr>
        <w:pStyle w:val="affd"/>
        <w:tabs>
          <w:tab w:val="left" w:pos="3780"/>
        </w:tabs>
        <w:autoSpaceDE w:val="0"/>
        <w:autoSpaceDN w:val="0"/>
        <w:adjustRightInd w:val="0"/>
        <w:spacing w:line="360" w:lineRule="auto"/>
        <w:ind w:firstLine="420"/>
        <w:rPr>
          <w:rFonts w:ascii="Arial" w:hAnsi="Arial" w:cs="Arial"/>
        </w:rPr>
      </w:pPr>
      <w:r w:rsidRPr="000D3C71">
        <w:rPr>
          <w:rFonts w:ascii="Arial" w:hAnsi="Arial" w:cs="Arial"/>
          <w:lang w:val="en"/>
        </w:rPr>
        <w:t>6. The Fund Custodian’s business qualification certificate(s) and business license.</w:t>
      </w:r>
    </w:p>
    <w:p w14:paraId="70E8877F" w14:textId="77777777" w:rsidR="0081561B" w:rsidRPr="000D3C71" w:rsidRDefault="00953439" w:rsidP="002C372A">
      <w:pPr>
        <w:pStyle w:val="affd"/>
        <w:tabs>
          <w:tab w:val="left" w:pos="3780"/>
        </w:tabs>
        <w:autoSpaceDE w:val="0"/>
        <w:autoSpaceDN w:val="0"/>
        <w:adjustRightInd w:val="0"/>
        <w:spacing w:line="360" w:lineRule="auto"/>
        <w:ind w:firstLine="420"/>
        <w:rPr>
          <w:rFonts w:ascii="Arial" w:hAnsi="Arial" w:cs="Arial"/>
        </w:rPr>
      </w:pPr>
      <w:r w:rsidRPr="000D3C71">
        <w:rPr>
          <w:rFonts w:ascii="Arial" w:hAnsi="Arial" w:cs="Arial"/>
          <w:lang w:val="en"/>
        </w:rPr>
        <w:t>(II) Location</w:t>
      </w:r>
    </w:p>
    <w:p w14:paraId="23A3039B" w14:textId="77777777" w:rsidR="0081561B" w:rsidRPr="000D3C71" w:rsidRDefault="00953439" w:rsidP="002C372A">
      <w:pPr>
        <w:pStyle w:val="affd"/>
        <w:tabs>
          <w:tab w:val="left" w:pos="3780"/>
        </w:tabs>
        <w:autoSpaceDE w:val="0"/>
        <w:autoSpaceDN w:val="0"/>
        <w:adjustRightInd w:val="0"/>
        <w:spacing w:line="360" w:lineRule="auto"/>
        <w:ind w:firstLine="420"/>
        <w:rPr>
          <w:rFonts w:ascii="Arial" w:hAnsi="Arial" w:cs="Arial"/>
        </w:rPr>
      </w:pPr>
      <w:r w:rsidRPr="000D3C71">
        <w:rPr>
          <w:rFonts w:ascii="Arial" w:hAnsi="Arial" w:cs="Arial"/>
          <w:lang w:val="en"/>
        </w:rPr>
        <w:t>The documents listed above are maintained at the premises of the Fund Manager and/or the Fund Custodian.</w:t>
      </w:r>
    </w:p>
    <w:p w14:paraId="3FCE1D83" w14:textId="77777777" w:rsidR="0081561B" w:rsidRPr="000D3C71" w:rsidRDefault="00953439" w:rsidP="002C372A">
      <w:pPr>
        <w:pStyle w:val="affd"/>
        <w:tabs>
          <w:tab w:val="left" w:pos="3780"/>
        </w:tabs>
        <w:autoSpaceDE w:val="0"/>
        <w:autoSpaceDN w:val="0"/>
        <w:adjustRightInd w:val="0"/>
        <w:spacing w:line="360" w:lineRule="auto"/>
        <w:ind w:firstLine="420"/>
        <w:rPr>
          <w:rFonts w:ascii="Arial" w:hAnsi="Arial" w:cs="Arial"/>
        </w:rPr>
      </w:pPr>
      <w:r w:rsidRPr="000D3C71">
        <w:rPr>
          <w:rFonts w:ascii="Arial" w:hAnsi="Arial" w:cs="Arial"/>
          <w:lang w:val="en"/>
        </w:rPr>
        <w:t>(III) Viewing Method</w:t>
      </w:r>
    </w:p>
    <w:p w14:paraId="614EFA03" w14:textId="77777777" w:rsidR="0081561B" w:rsidRPr="000D3C71" w:rsidRDefault="00953439" w:rsidP="002C372A">
      <w:pPr>
        <w:pStyle w:val="af6"/>
        <w:tabs>
          <w:tab w:val="left" w:pos="3780"/>
        </w:tabs>
        <w:autoSpaceDE w:val="0"/>
        <w:autoSpaceDN w:val="0"/>
        <w:adjustRightInd w:val="0"/>
        <w:ind w:firstLineChars="0"/>
        <w:rPr>
          <w:rFonts w:ascii="Arial" w:hAnsi="Arial" w:cs="Arial"/>
          <w:szCs w:val="24"/>
        </w:rPr>
      </w:pPr>
      <w:r w:rsidRPr="000D3C71">
        <w:rPr>
          <w:rFonts w:ascii="Arial" w:hAnsi="Arial" w:cs="Arial"/>
          <w:lang w:val="en"/>
        </w:rPr>
        <w:t>Investors may inspect the documents listed above free of charge during business hours. Upon payment of reasonable reproduction costs, they may obtain copies within a reasonable time.</w:t>
      </w:r>
    </w:p>
    <w:p w14:paraId="2DDA339C" w14:textId="77777777" w:rsidR="000353A7" w:rsidRPr="000D3C71" w:rsidRDefault="000353A7" w:rsidP="00503FB4">
      <w:pPr>
        <w:pStyle w:val="affd"/>
        <w:spacing w:line="360" w:lineRule="auto"/>
        <w:ind w:firstLineChars="200" w:firstLine="420"/>
        <w:rPr>
          <w:rFonts w:ascii="Arial" w:hAnsi="Arial" w:cs="Arial"/>
          <w:bCs/>
          <w:szCs w:val="21"/>
        </w:rPr>
      </w:pPr>
    </w:p>
    <w:p w14:paraId="26FABE71" w14:textId="77777777" w:rsidR="00825E75" w:rsidRPr="000D3C71" w:rsidRDefault="00825E75" w:rsidP="00503FB4">
      <w:pPr>
        <w:pStyle w:val="affd"/>
        <w:spacing w:line="360" w:lineRule="auto"/>
        <w:ind w:firstLineChars="200" w:firstLine="420"/>
        <w:rPr>
          <w:rFonts w:ascii="Arial" w:hAnsi="Arial" w:cs="Arial"/>
          <w:bCs/>
          <w:szCs w:val="21"/>
        </w:rPr>
      </w:pPr>
    </w:p>
    <w:bookmarkEnd w:id="0"/>
    <w:p w14:paraId="7C68B590" w14:textId="77777777" w:rsidR="00433F5F" w:rsidRPr="000D3C71" w:rsidRDefault="00953439" w:rsidP="000353A7">
      <w:pPr>
        <w:pStyle w:val="affd"/>
        <w:spacing w:line="360" w:lineRule="auto"/>
        <w:jc w:val="right"/>
        <w:rPr>
          <w:rFonts w:ascii="Arial" w:hAnsi="Arial" w:cs="Arial"/>
        </w:rPr>
      </w:pPr>
      <w:r w:rsidRPr="000D3C71">
        <w:rPr>
          <w:rFonts w:ascii="Arial" w:hAnsi="Arial" w:cs="Arial"/>
          <w:lang w:val="en"/>
        </w:rPr>
        <w:t>China Asset Management Co., Ltd.</w:t>
      </w:r>
    </w:p>
    <w:p w14:paraId="580A3E36" w14:textId="77777777" w:rsidR="00824725" w:rsidRPr="000D3C71" w:rsidRDefault="00953439">
      <w:pPr>
        <w:pStyle w:val="affd"/>
        <w:spacing w:line="360" w:lineRule="auto"/>
        <w:jc w:val="right"/>
        <w:rPr>
          <w:rFonts w:ascii="Arial" w:hAnsi="Arial" w:cs="Arial"/>
        </w:rPr>
      </w:pPr>
      <w:r w:rsidRPr="000D3C71">
        <w:rPr>
          <w:rFonts w:ascii="Arial" w:hAnsi="Arial" w:cs="Arial"/>
          <w:lang w:val="en"/>
        </w:rPr>
        <w:t>May 30, 2025</w:t>
      </w:r>
    </w:p>
    <w:p w14:paraId="1C0182D9" w14:textId="77777777" w:rsidR="00F514DA" w:rsidRPr="000D3C71" w:rsidRDefault="00953439">
      <w:pPr>
        <w:pStyle w:val="afff5"/>
        <w:widowControl/>
        <w:jc w:val="left"/>
        <w:rPr>
          <w:rFonts w:ascii="Arial" w:hAnsi="Arial" w:cs="Arial"/>
        </w:rPr>
      </w:pPr>
      <w:r w:rsidRPr="000D3C71">
        <w:rPr>
          <w:rFonts w:ascii="Arial" w:hAnsi="Arial" w:cs="Arial"/>
          <w:lang w:val="en"/>
        </w:rPr>
        <w:br w:type="page"/>
      </w:r>
    </w:p>
    <w:p w14:paraId="01058186" w14:textId="77777777" w:rsidR="00D87178" w:rsidRPr="000D3C71" w:rsidRDefault="00953439" w:rsidP="00D87178">
      <w:pPr>
        <w:pStyle w:val="Heading3"/>
        <w:rPr>
          <w:rFonts w:ascii="Arial" w:hAnsi="Arial" w:cs="Arial"/>
          <w:bCs/>
        </w:rPr>
      </w:pPr>
      <w:bookmarkStart w:id="182" w:name="_Toc66714177"/>
      <w:bookmarkStart w:id="183" w:name="_Toc65599594"/>
      <w:bookmarkStart w:id="184" w:name="_Toc211640965"/>
      <w:r w:rsidRPr="000D3C71">
        <w:rPr>
          <w:rFonts w:ascii="Arial" w:hAnsi="Arial" w:cs="Arial"/>
          <w:bCs/>
          <w:lang w:val="en"/>
        </w:rPr>
        <w:t>Appendix I: Index Methodology</w:t>
      </w:r>
      <w:bookmarkEnd w:id="182"/>
      <w:bookmarkEnd w:id="183"/>
      <w:bookmarkEnd w:id="184"/>
    </w:p>
    <w:p w14:paraId="4B46981E" w14:textId="77777777" w:rsidR="00D87178" w:rsidRPr="000D3C71" w:rsidRDefault="00953439" w:rsidP="00D87178">
      <w:pPr>
        <w:pStyle w:val="affd"/>
        <w:spacing w:line="360" w:lineRule="auto"/>
        <w:ind w:right="840"/>
        <w:jc w:val="center"/>
        <w:rPr>
          <w:rFonts w:ascii="Arial" w:hAnsi="Arial" w:cs="Arial"/>
        </w:rPr>
      </w:pPr>
      <w:r w:rsidRPr="000D3C71">
        <w:rPr>
          <w:rFonts w:ascii="Arial" w:hAnsi="Arial" w:cs="Arial"/>
          <w:lang w:val="en"/>
        </w:rPr>
        <w:t>(The latest index methodology is available on the website of the index provider.)</w:t>
      </w:r>
    </w:p>
    <w:p w14:paraId="6E4697B4" w14:textId="77777777" w:rsidR="00E255A2" w:rsidRPr="000D3C71" w:rsidRDefault="00953439" w:rsidP="00503FB4">
      <w:pPr>
        <w:pStyle w:val="Heading2"/>
        <w:numPr>
          <w:ilvl w:val="0"/>
          <w:numId w:val="37"/>
        </w:numPr>
        <w:tabs>
          <w:tab w:val="clear" w:pos="900"/>
          <w:tab w:val="left" w:pos="720"/>
        </w:tabs>
        <w:spacing w:before="0" w:after="0" w:line="360" w:lineRule="auto"/>
        <w:ind w:left="0" w:firstLineChars="200" w:firstLine="422"/>
        <w:rPr>
          <w:rFonts w:eastAsia="宋体" w:cs="Arial"/>
          <w:sz w:val="21"/>
          <w:szCs w:val="21"/>
        </w:rPr>
      </w:pPr>
      <w:bookmarkStart w:id="185" w:name="_Toc55309979"/>
      <w:bookmarkStart w:id="186" w:name="_Toc211640966"/>
      <w:r w:rsidRPr="000D3C71">
        <w:rPr>
          <w:rFonts w:eastAsia="宋体" w:cs="Arial"/>
          <w:sz w:val="21"/>
          <w:szCs w:val="21"/>
          <w:lang w:val="en"/>
        </w:rPr>
        <w:t>Introduction</w:t>
      </w:r>
      <w:bookmarkEnd w:id="185"/>
      <w:bookmarkEnd w:id="186"/>
    </w:p>
    <w:p w14:paraId="2536D3C5" w14:textId="77777777" w:rsidR="00E255A2" w:rsidRPr="000D3C71" w:rsidRDefault="00953439" w:rsidP="00B9356C">
      <w:pPr>
        <w:tabs>
          <w:tab w:val="left" w:pos="1545"/>
          <w:tab w:val="left" w:pos="8336"/>
        </w:tabs>
        <w:spacing w:line="360" w:lineRule="auto"/>
        <w:ind w:firstLineChars="200" w:firstLine="420"/>
        <w:jc w:val="left"/>
        <w:rPr>
          <w:rFonts w:ascii="Arial" w:hAnsi="Arial" w:cs="Arial"/>
        </w:rPr>
      </w:pPr>
      <w:r w:rsidRPr="000D3C71">
        <w:rPr>
          <w:rFonts w:ascii="Arial" w:hAnsi="Arial" w:cs="Arial"/>
          <w:lang w:val="en"/>
        </w:rPr>
        <w:t>The CSI 300 Index, officially launched on April 8, 2005, comprises the 300 largest and most liquid stocks listed on the Shanghai and Shenzhen stock exchanges. It serves as a benchmark for the overall performance of equities issued by companies traded on these two markets.</w:t>
      </w:r>
    </w:p>
    <w:p w14:paraId="4366FE50" w14:textId="526BE0DD" w:rsidR="00E255A2" w:rsidRPr="000D3C71" w:rsidRDefault="00953439" w:rsidP="00503FB4">
      <w:pPr>
        <w:pStyle w:val="Heading2"/>
        <w:numPr>
          <w:ilvl w:val="0"/>
          <w:numId w:val="37"/>
        </w:numPr>
        <w:tabs>
          <w:tab w:val="clear" w:pos="900"/>
          <w:tab w:val="left" w:pos="720"/>
        </w:tabs>
        <w:spacing w:before="0" w:after="0" w:line="360" w:lineRule="auto"/>
        <w:ind w:left="0" w:firstLineChars="200" w:firstLine="422"/>
        <w:rPr>
          <w:rFonts w:eastAsia="宋体" w:cs="Arial"/>
          <w:sz w:val="21"/>
          <w:szCs w:val="21"/>
        </w:rPr>
      </w:pPr>
      <w:bookmarkStart w:id="187" w:name="_Toc55309980"/>
      <w:bookmarkStart w:id="188" w:name="_Toc211640967"/>
      <w:r w:rsidRPr="000D3C71">
        <w:rPr>
          <w:rFonts w:eastAsia="宋体" w:cs="Arial"/>
          <w:sz w:val="21"/>
          <w:szCs w:val="21"/>
          <w:lang w:val="en"/>
        </w:rPr>
        <w:t>Eligible Universe</w:t>
      </w:r>
      <w:bookmarkEnd w:id="187"/>
      <w:bookmarkEnd w:id="188"/>
    </w:p>
    <w:p w14:paraId="6137236B" w14:textId="77777777" w:rsidR="00E255A2" w:rsidRPr="000D3C71" w:rsidRDefault="00953439" w:rsidP="00B9356C">
      <w:pPr>
        <w:tabs>
          <w:tab w:val="left" w:pos="1545"/>
          <w:tab w:val="left" w:pos="8336"/>
        </w:tabs>
        <w:spacing w:line="360" w:lineRule="auto"/>
        <w:ind w:firstLineChars="200" w:firstLine="420"/>
        <w:jc w:val="left"/>
        <w:rPr>
          <w:rFonts w:ascii="Arial" w:hAnsi="Arial" w:cs="Arial"/>
        </w:rPr>
      </w:pPr>
      <w:r w:rsidRPr="000D3C71">
        <w:rPr>
          <w:rFonts w:ascii="Arial" w:hAnsi="Arial" w:cs="Arial"/>
          <w:lang w:val="en"/>
        </w:rPr>
        <w:t>The eligible universe for the index consists of non-ST/*ST A-shares listed on the Shanghai and Shenzhen stock exchanges and depository receipts issued by red-chip enterprises that meet the following criteria:</w:t>
      </w:r>
    </w:p>
    <w:p w14:paraId="1B56B057" w14:textId="77777777" w:rsidR="00E255A2" w:rsidRPr="000D3C71" w:rsidRDefault="00953439" w:rsidP="00503FB4">
      <w:pPr>
        <w:numPr>
          <w:ilvl w:val="1"/>
          <w:numId w:val="38"/>
        </w:numPr>
        <w:tabs>
          <w:tab w:val="left" w:pos="1545"/>
          <w:tab w:val="left" w:pos="8336"/>
        </w:tabs>
        <w:spacing w:line="360" w:lineRule="auto"/>
        <w:ind w:left="0" w:firstLineChars="200" w:firstLine="420"/>
        <w:jc w:val="left"/>
        <w:rPr>
          <w:rFonts w:ascii="Arial" w:hAnsi="Arial" w:cs="Arial"/>
        </w:rPr>
      </w:pPr>
      <w:r w:rsidRPr="000D3C71">
        <w:rPr>
          <w:rFonts w:ascii="Arial" w:hAnsi="Arial" w:cs="Arial"/>
          <w:lang w:val="en"/>
        </w:rPr>
        <w:t>STAR Market and ChiNext Market securities: Must have been listed for more than one year.</w:t>
      </w:r>
    </w:p>
    <w:p w14:paraId="67B7C5BB" w14:textId="77777777" w:rsidR="00E255A2" w:rsidRPr="000D3C71" w:rsidRDefault="00953439" w:rsidP="00503FB4">
      <w:pPr>
        <w:numPr>
          <w:ilvl w:val="1"/>
          <w:numId w:val="38"/>
        </w:numPr>
        <w:tabs>
          <w:tab w:val="left" w:pos="1545"/>
          <w:tab w:val="right" w:pos="8306"/>
          <w:tab w:val="left" w:pos="8336"/>
        </w:tabs>
        <w:spacing w:line="360" w:lineRule="auto"/>
        <w:ind w:left="0" w:firstLineChars="200" w:firstLine="420"/>
        <w:jc w:val="left"/>
        <w:rPr>
          <w:rFonts w:ascii="Arial" w:hAnsi="Arial" w:cs="Arial"/>
        </w:rPr>
      </w:pPr>
      <w:r w:rsidRPr="000D3C71">
        <w:rPr>
          <w:rFonts w:ascii="Arial" w:hAnsi="Arial" w:cs="Arial"/>
          <w:lang w:val="en"/>
        </w:rPr>
        <w:t>Other securities: Must have been listed for more than one quarter, unless the security has ranked among the top 30 by average daily total market capitalization since its listing.</w:t>
      </w:r>
    </w:p>
    <w:p w14:paraId="102985C1" w14:textId="77777777" w:rsidR="00E255A2" w:rsidRPr="000D3C71" w:rsidRDefault="00953439" w:rsidP="00503FB4">
      <w:pPr>
        <w:pStyle w:val="Heading2"/>
        <w:numPr>
          <w:ilvl w:val="0"/>
          <w:numId w:val="37"/>
        </w:numPr>
        <w:tabs>
          <w:tab w:val="clear" w:pos="900"/>
          <w:tab w:val="left" w:pos="720"/>
        </w:tabs>
        <w:spacing w:before="0" w:after="0" w:line="360" w:lineRule="auto"/>
        <w:ind w:left="0" w:firstLineChars="200" w:firstLine="422"/>
        <w:rPr>
          <w:rFonts w:eastAsia="宋体" w:cs="Arial"/>
          <w:sz w:val="21"/>
          <w:szCs w:val="21"/>
        </w:rPr>
      </w:pPr>
      <w:bookmarkStart w:id="189" w:name="_Toc55309981"/>
      <w:bookmarkStart w:id="190" w:name="_Toc211640968"/>
      <w:r w:rsidRPr="000D3C71">
        <w:rPr>
          <w:rFonts w:eastAsia="宋体" w:cs="Arial"/>
          <w:sz w:val="21"/>
          <w:szCs w:val="21"/>
          <w:lang w:val="en"/>
        </w:rPr>
        <w:t>Selection Method</w:t>
      </w:r>
      <w:bookmarkEnd w:id="189"/>
      <w:bookmarkEnd w:id="190"/>
    </w:p>
    <w:p w14:paraId="23FD0964" w14:textId="77777777" w:rsidR="00E255A2" w:rsidRPr="000D3C71" w:rsidRDefault="00953439" w:rsidP="00B9356C">
      <w:pPr>
        <w:tabs>
          <w:tab w:val="left" w:pos="1545"/>
          <w:tab w:val="left" w:pos="8336"/>
        </w:tabs>
        <w:spacing w:line="360" w:lineRule="auto"/>
        <w:ind w:firstLineChars="200" w:firstLine="420"/>
        <w:jc w:val="left"/>
        <w:rPr>
          <w:rFonts w:ascii="Arial" w:hAnsi="Arial" w:cs="Arial"/>
        </w:rPr>
      </w:pPr>
      <w:r w:rsidRPr="000D3C71">
        <w:rPr>
          <w:rFonts w:ascii="Arial" w:hAnsi="Arial" w:cs="Arial"/>
          <w:lang w:val="en"/>
        </w:rPr>
        <w:t>The constituents of the CSI 300 Index are selected from companies with sound operating performance, no record of material regulatory violations, no significant issues in their financial reports, and no evidence of abnormal price fluctuations or market manipulation, according to the following method:</w:t>
      </w:r>
    </w:p>
    <w:p w14:paraId="3D5E17B9" w14:textId="77777777" w:rsidR="00E255A2" w:rsidRPr="000D3C71" w:rsidRDefault="00953439" w:rsidP="00503FB4">
      <w:pPr>
        <w:numPr>
          <w:ilvl w:val="1"/>
          <w:numId w:val="38"/>
        </w:numPr>
        <w:tabs>
          <w:tab w:val="left" w:pos="1545"/>
          <w:tab w:val="left" w:pos="8336"/>
        </w:tabs>
        <w:spacing w:line="360" w:lineRule="auto"/>
        <w:ind w:left="0" w:firstLineChars="200" w:firstLine="420"/>
        <w:jc w:val="left"/>
        <w:rPr>
          <w:rFonts w:ascii="Arial" w:hAnsi="Arial" w:cs="Arial"/>
        </w:rPr>
      </w:pPr>
      <w:r w:rsidRPr="000D3C71">
        <w:rPr>
          <w:rFonts w:ascii="Arial" w:hAnsi="Arial" w:cs="Arial"/>
          <w:lang w:val="en"/>
        </w:rPr>
        <w:t>Securities in the eligible universe are ranked in descending order by their average daily trading value over the past year. The bottom 50% are excluded.</w:t>
      </w:r>
    </w:p>
    <w:p w14:paraId="5DC0D83E" w14:textId="77777777" w:rsidR="00E255A2" w:rsidRPr="000D3C71" w:rsidRDefault="00953439" w:rsidP="00503FB4">
      <w:pPr>
        <w:numPr>
          <w:ilvl w:val="1"/>
          <w:numId w:val="38"/>
        </w:numPr>
        <w:tabs>
          <w:tab w:val="left" w:pos="1545"/>
          <w:tab w:val="left" w:pos="8336"/>
        </w:tabs>
        <w:spacing w:line="360" w:lineRule="auto"/>
        <w:ind w:left="0" w:firstLineChars="200" w:firstLine="420"/>
        <w:jc w:val="left"/>
        <w:rPr>
          <w:rFonts w:ascii="Arial" w:hAnsi="Arial" w:cs="Arial"/>
        </w:rPr>
      </w:pPr>
      <w:r w:rsidRPr="000D3C71">
        <w:rPr>
          <w:rFonts w:ascii="Arial" w:hAnsi="Arial" w:cs="Arial"/>
          <w:lang w:val="en"/>
        </w:rPr>
        <w:t>The remaining securities are ranked in descending order by their average daily total market capitalization over the past year, and the top 300 securities are selected as index constituents.</w:t>
      </w:r>
    </w:p>
    <w:p w14:paraId="4A3499AA" w14:textId="77777777" w:rsidR="00E255A2" w:rsidRPr="000D3C71" w:rsidRDefault="00953439" w:rsidP="00503FB4">
      <w:pPr>
        <w:pStyle w:val="Heading2"/>
        <w:numPr>
          <w:ilvl w:val="0"/>
          <w:numId w:val="37"/>
        </w:numPr>
        <w:tabs>
          <w:tab w:val="clear" w:pos="900"/>
          <w:tab w:val="left" w:pos="720"/>
        </w:tabs>
        <w:spacing w:before="0" w:after="0" w:line="360" w:lineRule="auto"/>
        <w:ind w:left="0" w:firstLineChars="200" w:firstLine="422"/>
        <w:rPr>
          <w:rFonts w:eastAsia="宋体" w:cs="Arial"/>
          <w:sz w:val="21"/>
          <w:szCs w:val="21"/>
        </w:rPr>
      </w:pPr>
      <w:bookmarkStart w:id="191" w:name="_Toc55309982"/>
      <w:bookmarkStart w:id="192" w:name="_Toc211640969"/>
      <w:r w:rsidRPr="000D3C71">
        <w:rPr>
          <w:rFonts w:eastAsia="宋体" w:cs="Arial"/>
          <w:sz w:val="21"/>
          <w:szCs w:val="21"/>
          <w:lang w:val="en"/>
        </w:rPr>
        <w:t>Index Calculation</w:t>
      </w:r>
      <w:bookmarkEnd w:id="191"/>
      <w:bookmarkEnd w:id="192"/>
    </w:p>
    <w:p w14:paraId="5EF7F21C"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The CSI 300 Index is calculated in “points” and is precise to three decimal places.</w:t>
      </w:r>
    </w:p>
    <w:p w14:paraId="691016D4"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4.1 Base Date and Base Value</w:t>
      </w:r>
    </w:p>
    <w:p w14:paraId="2948AA1E"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The CSI 300 Index has a base date of December 31, 2004, and a base value of 1000 points.</w:t>
      </w:r>
    </w:p>
    <w:p w14:paraId="63B31857"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4.2 Index Calculation Formula</w:t>
      </w:r>
    </w:p>
    <w:p w14:paraId="68B99A78"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The index is calculated using the following formula:</w:t>
      </w:r>
    </w:p>
    <w:p w14:paraId="3367D7C5" w14:textId="77777777" w:rsidR="00E255A2" w:rsidRPr="000D3C71" w:rsidRDefault="00953439" w:rsidP="00503FB4">
      <w:pPr>
        <w:spacing w:line="360" w:lineRule="auto"/>
        <w:ind w:firstLineChars="200" w:firstLine="420"/>
        <w:jc w:val="center"/>
        <w:rPr>
          <w:rFonts w:ascii="Arial" w:hAnsi="Arial" w:cs="Arial"/>
        </w:rPr>
      </w:pPr>
      <m:oMathPara>
        <m:oMath>
          <m:r>
            <m:rPr>
              <m:sty m:val="p"/>
            </m:rPr>
            <w:rPr>
              <w:rFonts w:ascii="Cambria Math" w:hAnsi="Cambria Math" w:cs="Arial"/>
            </w:rPr>
            <m:t xml:space="preserve"> Index at the reporting date = (Adjusted Market Capitalization of Constituents at the reporting date / Divisor) × 1,000</m:t>
          </m:r>
          <m:f>
            <m:fPr>
              <m:ctrlPr>
                <w:rPr>
                  <w:rFonts w:ascii="Cambria Math" w:hAnsi="Cambria Math" w:cs="Arial"/>
                  <w:bCs/>
                </w:rPr>
              </m:ctrlPr>
            </m:fPr>
            <m:num/>
            <m:den>
              <m:r>
                <m:rPr>
                  <m:sty m:val="p"/>
                </m:rPr>
                <w:rPr>
                  <w:rFonts w:ascii="Cambria Math" w:hAnsi="Cambria Math" w:cs="Arial"/>
                </w:rPr>
                <m:t xml:space="preserve"> </m:t>
              </m:r>
            </m:den>
          </m:f>
        </m:oMath>
      </m:oMathPara>
    </w:p>
    <w:p w14:paraId="31CD62CE"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Where: Adjusted Market Capitalization = Σ (Security Price × Adjusted Shares).</w:t>
      </w:r>
    </w:p>
    <w:p w14:paraId="2F544231"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The Adjusted Shares are derived by applying a banding adjustment to the constituent’s share capital. To calculate it, two factors must be determined: the free float and the corresponding weighting band. For details, see Section 4.4 “Free Float” and Section 4.5 “Weighting Bands.”</w:t>
      </w:r>
      <w:bookmarkStart w:id="193" w:name="OLE_LINK2"/>
      <w:bookmarkEnd w:id="193"/>
    </w:p>
    <w:p w14:paraId="4E7C24F8"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When the constituent list or share capital structure changes, or when a constituent’s adjusted market capitalization is affected by non-trading factors, the divisor adjustment method is used in accordance with the rules for maintaining constituent share capital to preserve index continuity. See Section 5 “Index Adjustments” for details.</w:t>
      </w:r>
    </w:p>
    <w:p w14:paraId="0BA32FC3"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4.3 Real-Time Index Calculation</w:t>
      </w:r>
    </w:p>
    <w:p w14:paraId="0E6C1460"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The CSI 300 Index is calculated and disseminated in real time. Constituent price data are obtained from the Shanghai Stock Exchange and Shenzhen Stock Exchange market data systems.</w:t>
      </w:r>
    </w:p>
    <w:p w14:paraId="635653C1"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During exchange trading hours, the index is computed based on real-time quotes published by the exchanges. If a security has not traded, the opening reference price published by the exchange or maintained by China Securities Index Co., Ltd. is used. The calculation price (X) for each constituent is determined as follows:</w:t>
      </w:r>
    </w:p>
    <w:p w14:paraId="01D80BC0" w14:textId="77777777" w:rsidR="00E255A2" w:rsidRPr="000D3C71" w:rsidRDefault="00953439" w:rsidP="00503FB4">
      <w:pPr>
        <w:spacing w:line="360" w:lineRule="auto"/>
        <w:ind w:firstLineChars="200" w:firstLine="422"/>
        <w:jc w:val="center"/>
        <w:rPr>
          <w:rFonts w:ascii="Arial" w:hAnsi="Arial" w:cs="Arial"/>
        </w:rPr>
      </w:pPr>
      <w:r w:rsidRPr="000D3C71">
        <w:rPr>
          <w:rFonts w:ascii="Arial" w:hAnsi="Arial" w:cs="Arial"/>
          <w:b/>
          <w:bCs/>
          <w:lang w:val="en"/>
        </w:rPr>
        <w:t xml:space="preserve">If there are no trades during the day, then X </w:t>
      </w:r>
      <w:r w:rsidRPr="000D3C71">
        <w:rPr>
          <w:rFonts w:ascii="Arial" w:hAnsi="Arial" w:cs="Arial"/>
          <w:lang w:val="en"/>
        </w:rPr>
        <w:t>= Opening Reference Price.</w:t>
      </w:r>
    </w:p>
    <w:p w14:paraId="58478929" w14:textId="77777777" w:rsidR="00E255A2" w:rsidRPr="000D3C71" w:rsidRDefault="00953439" w:rsidP="00503FB4">
      <w:pPr>
        <w:spacing w:line="360" w:lineRule="auto"/>
        <w:ind w:firstLineChars="200" w:firstLine="422"/>
        <w:jc w:val="center"/>
        <w:rPr>
          <w:rFonts w:ascii="Arial" w:hAnsi="Arial" w:cs="Arial"/>
          <w:b/>
        </w:rPr>
      </w:pPr>
      <w:r w:rsidRPr="000D3C71">
        <w:rPr>
          <w:rFonts w:ascii="Arial" w:hAnsi="Arial" w:cs="Arial"/>
          <w:b/>
          <w:bCs/>
          <w:lang w:val="en"/>
        </w:rPr>
        <w:t xml:space="preserve">If there are trades during the day, then X </w:t>
      </w:r>
      <w:r w:rsidRPr="000D3C71">
        <w:rPr>
          <w:rFonts w:ascii="Arial" w:hAnsi="Arial" w:cs="Arial"/>
          <w:lang w:val="en"/>
        </w:rPr>
        <w:t>= Last Traded Price.</w:t>
      </w:r>
    </w:p>
    <w:p w14:paraId="4B65BD84"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In the event of abnormal market data from the Shanghai or Shenzhen Stock Exchange, China Securities Index Co., Ltd. will decide whether to continue index calculation based on the circumstances.</w:t>
      </w:r>
    </w:p>
    <w:p w14:paraId="192456B5"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4.4 Free Float</w:t>
      </w:r>
    </w:p>
    <w:p w14:paraId="221F2ADB"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To reflect changes in shares that are actually available for trading in the market, the CSI 300 Index excludes restricted shares and shares that are effectively non-tradable due to strategic or other long-term holdings. The remaining portion of share capital is referred to as free-float shares (“free float”). Non-free-float shares include:</w:t>
      </w:r>
    </w:p>
    <w:p w14:paraId="20BBE9E1" w14:textId="77777777" w:rsidR="00E255A2" w:rsidRPr="000D3C71" w:rsidRDefault="00953439" w:rsidP="00503FB4">
      <w:pPr>
        <w:numPr>
          <w:ilvl w:val="0"/>
          <w:numId w:val="39"/>
        </w:numPr>
        <w:spacing w:line="360" w:lineRule="auto"/>
        <w:ind w:left="0" w:firstLineChars="200" w:firstLine="420"/>
        <w:rPr>
          <w:rFonts w:ascii="Arial" w:hAnsi="Arial" w:cs="Arial"/>
        </w:rPr>
      </w:pPr>
      <w:r w:rsidRPr="000D3C71">
        <w:rPr>
          <w:rFonts w:ascii="Arial" w:hAnsi="Arial" w:cs="Arial"/>
          <w:lang w:val="en"/>
        </w:rPr>
        <w:t>Shares held long term by company founders, families, and senior management</w:t>
      </w:r>
    </w:p>
    <w:p w14:paraId="640819CE" w14:textId="77777777" w:rsidR="00E255A2" w:rsidRPr="000D3C71" w:rsidRDefault="00953439" w:rsidP="00503FB4">
      <w:pPr>
        <w:numPr>
          <w:ilvl w:val="0"/>
          <w:numId w:val="39"/>
        </w:numPr>
        <w:spacing w:line="360" w:lineRule="auto"/>
        <w:ind w:left="0" w:firstLineChars="200" w:firstLine="420"/>
        <w:rPr>
          <w:rFonts w:ascii="Arial" w:hAnsi="Arial" w:cs="Arial"/>
        </w:rPr>
      </w:pPr>
      <w:r w:rsidRPr="000D3C71">
        <w:rPr>
          <w:rFonts w:ascii="Arial" w:hAnsi="Arial" w:cs="Arial"/>
          <w:lang w:val="en"/>
        </w:rPr>
        <w:t>State-owned shares</w:t>
      </w:r>
    </w:p>
    <w:p w14:paraId="25D2CF1A" w14:textId="77777777" w:rsidR="00E255A2" w:rsidRPr="000D3C71" w:rsidRDefault="00953439" w:rsidP="00503FB4">
      <w:pPr>
        <w:numPr>
          <w:ilvl w:val="0"/>
          <w:numId w:val="39"/>
        </w:numPr>
        <w:spacing w:line="360" w:lineRule="auto"/>
        <w:ind w:left="0" w:firstLineChars="200" w:firstLine="420"/>
        <w:rPr>
          <w:rFonts w:ascii="Arial" w:hAnsi="Arial" w:cs="Arial"/>
        </w:rPr>
      </w:pPr>
      <w:r w:rsidRPr="000D3C71">
        <w:rPr>
          <w:rFonts w:ascii="Arial" w:hAnsi="Arial" w:cs="Arial"/>
          <w:lang w:val="en"/>
        </w:rPr>
        <w:t>Shares held by strategic investors</w:t>
      </w:r>
    </w:p>
    <w:p w14:paraId="235FD510" w14:textId="777C3AB6" w:rsidR="00E255A2" w:rsidRPr="000D3C71" w:rsidRDefault="00953439" w:rsidP="00AD626C">
      <w:pPr>
        <w:numPr>
          <w:ilvl w:val="0"/>
          <w:numId w:val="39"/>
        </w:numPr>
        <w:spacing w:line="360" w:lineRule="auto"/>
        <w:ind w:left="0" w:firstLineChars="200" w:firstLine="420"/>
        <w:rPr>
          <w:rFonts w:ascii="Arial" w:hAnsi="Arial" w:cs="Arial"/>
        </w:rPr>
      </w:pPr>
      <w:r w:rsidRPr="000D3C71">
        <w:rPr>
          <w:rFonts w:ascii="Arial" w:hAnsi="Arial" w:cs="Arial"/>
          <w:lang w:val="en"/>
        </w:rPr>
        <w:t>Shares held under employee stock ownership plans</w:t>
      </w:r>
    </w:p>
    <w:p w14:paraId="2E7D9EA1"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Shares designated as restricted in listed company announcements, and holdings of the above four shareholder categories (and their concert parties) representing 5% or more of total shares outstanding, are deemed non-free-float shares.</w:t>
      </w:r>
    </w:p>
    <w:p w14:paraId="243B5BD5" w14:textId="77777777" w:rsidR="00E255A2" w:rsidRPr="000D3C71" w:rsidRDefault="00953439" w:rsidP="00503FB4">
      <w:pPr>
        <w:spacing w:line="360" w:lineRule="auto"/>
        <w:ind w:firstLineChars="200" w:firstLine="422"/>
        <w:jc w:val="center"/>
        <w:rPr>
          <w:rFonts w:ascii="Arial" w:hAnsi="Arial" w:cs="Arial"/>
          <w:b/>
        </w:rPr>
      </w:pPr>
      <w:r w:rsidRPr="000D3C71">
        <w:rPr>
          <w:rFonts w:ascii="Arial" w:hAnsi="Arial" w:cs="Arial"/>
          <w:b/>
          <w:bCs/>
          <w:lang w:val="en"/>
        </w:rPr>
        <w:t>Free Float = Total Shares Outstanding − Non-Free-Float Shares</w:t>
      </w:r>
    </w:p>
    <w:p w14:paraId="143ECFF3"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China Securities Index Co., Ltd. estimates free-float shares based on various objective data sources.</w:t>
      </w:r>
    </w:p>
    <w:p w14:paraId="48BC6163"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4.5 Weighting Bands</w:t>
      </w:r>
    </w:p>
    <w:p w14:paraId="7DF0F112"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In calculating the CSI 300 Index, China Securities Index Co., Ltd. applies a banding approach, assigning a weighting factor to each constituent’s total shares based on its free-float ratio (the ratio of free-float shares to total shares outstanding). This approach helps keep the shares used in the index calculation relatively stable.</w:t>
      </w:r>
    </w:p>
    <w:p w14:paraId="1F5D4523" w14:textId="77777777" w:rsidR="00E255A2" w:rsidRPr="000D3C71" w:rsidRDefault="00953439" w:rsidP="00503FB4">
      <w:pPr>
        <w:spacing w:line="360" w:lineRule="auto"/>
        <w:ind w:firstLineChars="200" w:firstLine="422"/>
        <w:jc w:val="center"/>
        <w:rPr>
          <w:rFonts w:ascii="Arial" w:hAnsi="Arial" w:cs="Arial"/>
          <w:b/>
        </w:rPr>
      </w:pPr>
      <w:r w:rsidRPr="000D3C71">
        <w:rPr>
          <w:rFonts w:ascii="Arial" w:hAnsi="Arial" w:cs="Arial"/>
          <w:b/>
          <w:bCs/>
          <w:lang w:val="en"/>
        </w:rPr>
        <w:t>Free-Float Ratio = Free-Float Shares / Total Shares Outstanding</w:t>
      </w:r>
    </w:p>
    <w:p w14:paraId="58322475" w14:textId="77777777" w:rsidR="00E255A2" w:rsidRPr="000D3C71" w:rsidRDefault="00953439" w:rsidP="00503FB4">
      <w:pPr>
        <w:spacing w:line="360" w:lineRule="auto"/>
        <w:ind w:firstLineChars="200" w:firstLine="422"/>
        <w:jc w:val="center"/>
        <w:rPr>
          <w:rFonts w:ascii="Arial" w:hAnsi="Arial" w:cs="Arial"/>
          <w:b/>
        </w:rPr>
      </w:pPr>
      <w:r w:rsidRPr="000D3C71">
        <w:rPr>
          <w:rFonts w:ascii="Arial" w:hAnsi="Arial" w:cs="Arial"/>
          <w:b/>
          <w:bCs/>
          <w:lang w:val="en"/>
        </w:rPr>
        <w:t>Adjusted Shares = Total Shares Outstanding × Weighting Factor</w:t>
      </w:r>
    </w:p>
    <w:p w14:paraId="16AD870E"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The weighting factors for CSI 300 constituents are determined as follows:</w:t>
      </w:r>
    </w:p>
    <w:p w14:paraId="1A22E2CE" w14:textId="77777777" w:rsidR="00E255A2" w:rsidRPr="000D3C71" w:rsidRDefault="00953439" w:rsidP="00503FB4">
      <w:pPr>
        <w:tabs>
          <w:tab w:val="left" w:pos="4404"/>
        </w:tabs>
        <w:spacing w:line="360" w:lineRule="auto"/>
        <w:ind w:firstLineChars="200" w:firstLine="422"/>
        <w:rPr>
          <w:rFonts w:ascii="Arial" w:hAnsi="Arial" w:cs="Arial"/>
          <w:b/>
        </w:rPr>
      </w:pPr>
      <w:r w:rsidRPr="000D3C71">
        <w:rPr>
          <w:rFonts w:ascii="Arial" w:hAnsi="Arial" w:cs="Arial"/>
          <w:b/>
          <w:bCs/>
          <w:lang w:val="en"/>
        </w:rPr>
        <w:t>[CSI 300 Index Weighting Bands Table]</w:t>
      </w:r>
      <w:r w:rsidRPr="000D3C71">
        <w:rPr>
          <w:rFonts w:ascii="Arial" w:hAnsi="Arial" w:cs="Arial"/>
          <w:lang w:val="en"/>
        </w:rPr>
        <w:tab/>
      </w:r>
    </w:p>
    <w:tbl>
      <w:tblPr>
        <w:tblW w:w="8316"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311"/>
        <w:gridCol w:w="778"/>
        <w:gridCol w:w="778"/>
        <w:gridCol w:w="779"/>
        <w:gridCol w:w="778"/>
        <w:gridCol w:w="778"/>
        <w:gridCol w:w="779"/>
        <w:gridCol w:w="778"/>
        <w:gridCol w:w="778"/>
        <w:gridCol w:w="779"/>
      </w:tblGrid>
      <w:tr w:rsidR="00824725" w:rsidRPr="000D3C71" w14:paraId="57D01CDC" w14:textId="77777777" w:rsidTr="009D7349">
        <w:tc>
          <w:tcPr>
            <w:tcW w:w="1311" w:type="dxa"/>
            <w:vAlign w:val="center"/>
          </w:tcPr>
          <w:p w14:paraId="4763AD96" w14:textId="77777777" w:rsidR="00E255A2" w:rsidRPr="000D3C71" w:rsidRDefault="00953439" w:rsidP="00B9356C">
            <w:pPr>
              <w:spacing w:line="360" w:lineRule="auto"/>
              <w:rPr>
                <w:rFonts w:ascii="Arial" w:hAnsi="Arial" w:cs="Arial"/>
              </w:rPr>
            </w:pPr>
            <w:r w:rsidRPr="000D3C71">
              <w:rPr>
                <w:rFonts w:ascii="Arial" w:hAnsi="Arial" w:cs="Arial"/>
                <w:lang w:val="en"/>
              </w:rPr>
              <w:t>Free-Float Ratio (%)</w:t>
            </w:r>
          </w:p>
        </w:tc>
        <w:tc>
          <w:tcPr>
            <w:tcW w:w="778" w:type="dxa"/>
            <w:vAlign w:val="center"/>
          </w:tcPr>
          <w:p w14:paraId="56072889" w14:textId="77777777" w:rsidR="00E255A2" w:rsidRPr="000D3C71" w:rsidRDefault="00953439" w:rsidP="00B9356C">
            <w:pPr>
              <w:spacing w:line="360" w:lineRule="auto"/>
              <w:rPr>
                <w:rFonts w:ascii="Arial" w:hAnsi="Arial" w:cs="Arial"/>
              </w:rPr>
            </w:pPr>
            <w:r w:rsidRPr="000D3C71">
              <w:rPr>
                <w:rFonts w:ascii="Arial" w:hAnsi="Arial" w:cs="Arial"/>
                <w:lang w:val="en"/>
              </w:rPr>
              <w:t>≤15</w:t>
            </w:r>
          </w:p>
        </w:tc>
        <w:tc>
          <w:tcPr>
            <w:tcW w:w="778" w:type="dxa"/>
            <w:vAlign w:val="center"/>
          </w:tcPr>
          <w:p w14:paraId="6BAAEFD3" w14:textId="77777777" w:rsidR="00E255A2" w:rsidRPr="000D3C71" w:rsidRDefault="00953439" w:rsidP="00B9356C">
            <w:pPr>
              <w:spacing w:line="360" w:lineRule="auto"/>
              <w:rPr>
                <w:rFonts w:ascii="Arial" w:hAnsi="Arial" w:cs="Arial"/>
              </w:rPr>
            </w:pPr>
            <w:r w:rsidRPr="000D3C71">
              <w:rPr>
                <w:rFonts w:ascii="Arial" w:hAnsi="Arial" w:cs="Arial"/>
                <w:lang w:val="en"/>
              </w:rPr>
              <w:t>(15, 20]</w:t>
            </w:r>
          </w:p>
        </w:tc>
        <w:tc>
          <w:tcPr>
            <w:tcW w:w="779" w:type="dxa"/>
            <w:vAlign w:val="center"/>
          </w:tcPr>
          <w:p w14:paraId="17BF6C9D" w14:textId="77777777" w:rsidR="00E255A2" w:rsidRPr="000D3C71" w:rsidRDefault="00953439" w:rsidP="00B9356C">
            <w:pPr>
              <w:spacing w:line="360" w:lineRule="auto"/>
              <w:rPr>
                <w:rFonts w:ascii="Arial" w:hAnsi="Arial" w:cs="Arial"/>
              </w:rPr>
            </w:pPr>
            <w:r w:rsidRPr="000D3C71">
              <w:rPr>
                <w:rFonts w:ascii="Arial" w:hAnsi="Arial" w:cs="Arial"/>
                <w:lang w:val="en"/>
              </w:rPr>
              <w:t>(20, 30]</w:t>
            </w:r>
          </w:p>
        </w:tc>
        <w:tc>
          <w:tcPr>
            <w:tcW w:w="778" w:type="dxa"/>
            <w:vAlign w:val="center"/>
          </w:tcPr>
          <w:p w14:paraId="25B6795C" w14:textId="77777777" w:rsidR="00E255A2" w:rsidRPr="000D3C71" w:rsidRDefault="00953439" w:rsidP="00B9356C">
            <w:pPr>
              <w:spacing w:line="360" w:lineRule="auto"/>
              <w:rPr>
                <w:rFonts w:ascii="Arial" w:hAnsi="Arial" w:cs="Arial"/>
              </w:rPr>
            </w:pPr>
            <w:r w:rsidRPr="000D3C71">
              <w:rPr>
                <w:rFonts w:ascii="Arial" w:hAnsi="Arial" w:cs="Arial"/>
                <w:lang w:val="en"/>
              </w:rPr>
              <w:t>(30, 40]</w:t>
            </w:r>
          </w:p>
        </w:tc>
        <w:tc>
          <w:tcPr>
            <w:tcW w:w="778" w:type="dxa"/>
            <w:vAlign w:val="center"/>
          </w:tcPr>
          <w:p w14:paraId="645A8C58" w14:textId="77777777" w:rsidR="00E255A2" w:rsidRPr="000D3C71" w:rsidRDefault="00953439" w:rsidP="00B9356C">
            <w:pPr>
              <w:spacing w:line="360" w:lineRule="auto"/>
              <w:rPr>
                <w:rFonts w:ascii="Arial" w:hAnsi="Arial" w:cs="Arial"/>
              </w:rPr>
            </w:pPr>
            <w:r w:rsidRPr="000D3C71">
              <w:rPr>
                <w:rFonts w:ascii="Arial" w:hAnsi="Arial" w:cs="Arial"/>
                <w:lang w:val="en"/>
              </w:rPr>
              <w:t>(40, 50]</w:t>
            </w:r>
          </w:p>
        </w:tc>
        <w:tc>
          <w:tcPr>
            <w:tcW w:w="779" w:type="dxa"/>
            <w:vAlign w:val="center"/>
          </w:tcPr>
          <w:p w14:paraId="00C70894" w14:textId="77777777" w:rsidR="00E255A2" w:rsidRPr="000D3C71" w:rsidRDefault="00953439" w:rsidP="00B9356C">
            <w:pPr>
              <w:spacing w:line="360" w:lineRule="auto"/>
              <w:rPr>
                <w:rFonts w:ascii="Arial" w:hAnsi="Arial" w:cs="Arial"/>
              </w:rPr>
            </w:pPr>
            <w:r w:rsidRPr="000D3C71">
              <w:rPr>
                <w:rFonts w:ascii="Arial" w:hAnsi="Arial" w:cs="Arial"/>
                <w:lang w:val="en"/>
              </w:rPr>
              <w:t>(50, 60]</w:t>
            </w:r>
          </w:p>
        </w:tc>
        <w:tc>
          <w:tcPr>
            <w:tcW w:w="778" w:type="dxa"/>
            <w:vAlign w:val="center"/>
          </w:tcPr>
          <w:p w14:paraId="6EA0CBDD" w14:textId="77777777" w:rsidR="00E255A2" w:rsidRPr="000D3C71" w:rsidRDefault="00953439" w:rsidP="00B9356C">
            <w:pPr>
              <w:spacing w:line="360" w:lineRule="auto"/>
              <w:rPr>
                <w:rFonts w:ascii="Arial" w:hAnsi="Arial" w:cs="Arial"/>
              </w:rPr>
            </w:pPr>
            <w:r w:rsidRPr="000D3C71">
              <w:rPr>
                <w:rFonts w:ascii="Arial" w:hAnsi="Arial" w:cs="Arial"/>
                <w:lang w:val="en"/>
              </w:rPr>
              <w:t>(60, 70]</w:t>
            </w:r>
          </w:p>
        </w:tc>
        <w:tc>
          <w:tcPr>
            <w:tcW w:w="778" w:type="dxa"/>
            <w:vAlign w:val="center"/>
          </w:tcPr>
          <w:p w14:paraId="29B9BCAC" w14:textId="77777777" w:rsidR="00E255A2" w:rsidRPr="000D3C71" w:rsidRDefault="00953439" w:rsidP="00B9356C">
            <w:pPr>
              <w:spacing w:line="360" w:lineRule="auto"/>
              <w:rPr>
                <w:rFonts w:ascii="Arial" w:hAnsi="Arial" w:cs="Arial"/>
              </w:rPr>
            </w:pPr>
            <w:r w:rsidRPr="000D3C71">
              <w:rPr>
                <w:rFonts w:ascii="Arial" w:hAnsi="Arial" w:cs="Arial"/>
                <w:lang w:val="en"/>
              </w:rPr>
              <w:t>(70, 80]</w:t>
            </w:r>
          </w:p>
        </w:tc>
        <w:tc>
          <w:tcPr>
            <w:tcW w:w="779" w:type="dxa"/>
            <w:vAlign w:val="center"/>
          </w:tcPr>
          <w:p w14:paraId="5587DA57" w14:textId="77777777" w:rsidR="00E255A2" w:rsidRPr="000D3C71" w:rsidRDefault="00953439" w:rsidP="00B9356C">
            <w:pPr>
              <w:spacing w:line="360" w:lineRule="auto"/>
              <w:rPr>
                <w:rFonts w:ascii="Arial" w:hAnsi="Arial" w:cs="Arial"/>
              </w:rPr>
            </w:pPr>
            <w:r w:rsidRPr="000D3C71">
              <w:rPr>
                <w:rFonts w:ascii="Arial" w:hAnsi="Arial" w:cs="Arial"/>
                <w:lang w:val="en"/>
              </w:rPr>
              <w:t>&gt;80</w:t>
            </w:r>
          </w:p>
        </w:tc>
      </w:tr>
      <w:tr w:rsidR="00824725" w:rsidRPr="000D3C71" w14:paraId="5FC1753C" w14:textId="77777777" w:rsidTr="009D7349">
        <w:tc>
          <w:tcPr>
            <w:tcW w:w="1311" w:type="dxa"/>
            <w:vAlign w:val="center"/>
          </w:tcPr>
          <w:p w14:paraId="65F01B48"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Weighting Factor (%)</w:t>
            </w:r>
          </w:p>
        </w:tc>
        <w:tc>
          <w:tcPr>
            <w:tcW w:w="778" w:type="dxa"/>
            <w:vAlign w:val="center"/>
          </w:tcPr>
          <w:p w14:paraId="4753808F" w14:textId="77777777" w:rsidR="00E255A2" w:rsidRPr="000D3C71" w:rsidRDefault="00953439" w:rsidP="00B9356C">
            <w:pPr>
              <w:spacing w:line="360" w:lineRule="auto"/>
              <w:rPr>
                <w:rFonts w:ascii="Arial" w:hAnsi="Arial" w:cs="Arial"/>
              </w:rPr>
            </w:pPr>
            <w:r w:rsidRPr="000D3C71">
              <w:rPr>
                <w:rFonts w:ascii="Arial" w:hAnsi="Arial" w:cs="Arial"/>
                <w:lang w:val="en"/>
              </w:rPr>
              <w:t>Rounded up to the nearest whole number</w:t>
            </w:r>
          </w:p>
        </w:tc>
        <w:tc>
          <w:tcPr>
            <w:tcW w:w="778" w:type="dxa"/>
            <w:vAlign w:val="center"/>
          </w:tcPr>
          <w:p w14:paraId="6977BAE6"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20</w:t>
            </w:r>
          </w:p>
        </w:tc>
        <w:tc>
          <w:tcPr>
            <w:tcW w:w="779" w:type="dxa"/>
            <w:vAlign w:val="center"/>
          </w:tcPr>
          <w:p w14:paraId="3149F84D"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30</w:t>
            </w:r>
          </w:p>
        </w:tc>
        <w:tc>
          <w:tcPr>
            <w:tcW w:w="778" w:type="dxa"/>
            <w:vAlign w:val="center"/>
          </w:tcPr>
          <w:p w14:paraId="7DC76747"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40</w:t>
            </w:r>
          </w:p>
        </w:tc>
        <w:tc>
          <w:tcPr>
            <w:tcW w:w="778" w:type="dxa"/>
            <w:vAlign w:val="center"/>
          </w:tcPr>
          <w:p w14:paraId="65D20FAB"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50</w:t>
            </w:r>
          </w:p>
        </w:tc>
        <w:tc>
          <w:tcPr>
            <w:tcW w:w="779" w:type="dxa"/>
            <w:vAlign w:val="center"/>
          </w:tcPr>
          <w:p w14:paraId="46AFFD25"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60</w:t>
            </w:r>
          </w:p>
        </w:tc>
        <w:tc>
          <w:tcPr>
            <w:tcW w:w="778" w:type="dxa"/>
            <w:vAlign w:val="center"/>
          </w:tcPr>
          <w:p w14:paraId="688F4F1A"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70</w:t>
            </w:r>
          </w:p>
        </w:tc>
        <w:tc>
          <w:tcPr>
            <w:tcW w:w="778" w:type="dxa"/>
            <w:vAlign w:val="center"/>
          </w:tcPr>
          <w:p w14:paraId="5CDA9067"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80</w:t>
            </w:r>
          </w:p>
        </w:tc>
        <w:tc>
          <w:tcPr>
            <w:tcW w:w="779" w:type="dxa"/>
            <w:vAlign w:val="center"/>
          </w:tcPr>
          <w:p w14:paraId="47E2B834"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100</w:t>
            </w:r>
          </w:p>
        </w:tc>
      </w:tr>
    </w:tbl>
    <w:p w14:paraId="1BBB708A"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[Example of Weighting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08"/>
        <w:gridCol w:w="1519"/>
        <w:gridCol w:w="1839"/>
        <w:gridCol w:w="1307"/>
      </w:tblGrid>
      <w:tr w:rsidR="00824725" w:rsidRPr="000D3C71" w14:paraId="79D55335" w14:textId="77777777" w:rsidTr="009D7349">
        <w:trPr>
          <w:trHeight w:val="315"/>
          <w:jc w:val="center"/>
        </w:trPr>
        <w:tc>
          <w:tcPr>
            <w:tcW w:w="3908" w:type="dxa"/>
            <w:tcMar>
              <w:top w:w="15" w:type="dxa"/>
              <w:left w:w="15" w:type="dxa"/>
              <w:bottom w:w="0" w:type="dxa"/>
              <w:right w:w="15" w:type="dxa"/>
            </w:tcMar>
            <w:vAlign w:val="center"/>
          </w:tcPr>
          <w:p w14:paraId="00D92DA3"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Security</w:t>
            </w:r>
          </w:p>
        </w:tc>
        <w:tc>
          <w:tcPr>
            <w:tcW w:w="1519" w:type="dxa"/>
            <w:tcMar>
              <w:top w:w="15" w:type="dxa"/>
              <w:left w:w="15" w:type="dxa"/>
              <w:bottom w:w="0" w:type="dxa"/>
              <w:right w:w="15" w:type="dxa"/>
            </w:tcMar>
            <w:vAlign w:val="center"/>
          </w:tcPr>
          <w:p w14:paraId="26B86EFA" w14:textId="77777777" w:rsidR="00E255A2" w:rsidRPr="000D3C71" w:rsidRDefault="00953439" w:rsidP="00503FB4">
            <w:pPr>
              <w:spacing w:line="360" w:lineRule="auto"/>
              <w:ind w:firstLineChars="200" w:firstLine="422"/>
              <w:jc w:val="center"/>
              <w:rPr>
                <w:rFonts w:ascii="Arial" w:hAnsi="Arial" w:cs="Arial"/>
                <w:b/>
              </w:rPr>
            </w:pPr>
            <w:r w:rsidRPr="000D3C71">
              <w:rPr>
                <w:rFonts w:ascii="Arial" w:hAnsi="Arial" w:cs="Arial"/>
                <w:b/>
                <w:bCs/>
                <w:lang w:val="en"/>
              </w:rPr>
              <w:t>A</w:t>
            </w:r>
          </w:p>
        </w:tc>
        <w:tc>
          <w:tcPr>
            <w:tcW w:w="1839" w:type="dxa"/>
            <w:tcMar>
              <w:top w:w="15" w:type="dxa"/>
              <w:left w:w="15" w:type="dxa"/>
              <w:bottom w:w="0" w:type="dxa"/>
              <w:right w:w="15" w:type="dxa"/>
            </w:tcMar>
            <w:vAlign w:val="center"/>
          </w:tcPr>
          <w:p w14:paraId="0C863F79" w14:textId="77777777" w:rsidR="00E255A2" w:rsidRPr="000D3C71" w:rsidRDefault="00953439" w:rsidP="00503FB4">
            <w:pPr>
              <w:spacing w:line="360" w:lineRule="auto"/>
              <w:ind w:firstLineChars="200" w:firstLine="422"/>
              <w:jc w:val="center"/>
              <w:rPr>
                <w:rFonts w:ascii="Arial" w:hAnsi="Arial" w:cs="Arial"/>
                <w:b/>
              </w:rPr>
            </w:pPr>
            <w:r w:rsidRPr="000D3C71">
              <w:rPr>
                <w:rFonts w:ascii="Arial" w:hAnsi="Arial" w:cs="Arial"/>
                <w:b/>
                <w:bCs/>
                <w:lang w:val="en"/>
              </w:rPr>
              <w:t>B</w:t>
            </w:r>
          </w:p>
        </w:tc>
        <w:tc>
          <w:tcPr>
            <w:tcW w:w="1307" w:type="dxa"/>
            <w:tcMar>
              <w:top w:w="15" w:type="dxa"/>
              <w:left w:w="15" w:type="dxa"/>
              <w:bottom w:w="0" w:type="dxa"/>
              <w:right w:w="15" w:type="dxa"/>
            </w:tcMar>
            <w:vAlign w:val="center"/>
          </w:tcPr>
          <w:p w14:paraId="153DAAFC" w14:textId="77777777" w:rsidR="00E255A2" w:rsidRPr="000D3C71" w:rsidRDefault="00953439" w:rsidP="00503FB4">
            <w:pPr>
              <w:spacing w:line="360" w:lineRule="auto"/>
              <w:ind w:firstLineChars="200" w:firstLine="422"/>
              <w:jc w:val="center"/>
              <w:rPr>
                <w:rFonts w:ascii="Arial" w:hAnsi="Arial" w:cs="Arial"/>
                <w:b/>
              </w:rPr>
            </w:pPr>
            <w:r w:rsidRPr="000D3C71">
              <w:rPr>
                <w:rFonts w:ascii="Arial" w:hAnsi="Arial" w:cs="Arial"/>
                <w:b/>
                <w:bCs/>
                <w:lang w:val="en"/>
              </w:rPr>
              <w:t>C</w:t>
            </w:r>
          </w:p>
        </w:tc>
      </w:tr>
      <w:tr w:rsidR="00824725" w:rsidRPr="000D3C71" w14:paraId="1EF8A777" w14:textId="77777777" w:rsidTr="009D7349">
        <w:trPr>
          <w:trHeight w:val="315"/>
          <w:jc w:val="center"/>
        </w:trPr>
        <w:tc>
          <w:tcPr>
            <w:tcW w:w="3908" w:type="dxa"/>
            <w:tcMar>
              <w:top w:w="15" w:type="dxa"/>
              <w:left w:w="15" w:type="dxa"/>
              <w:bottom w:w="0" w:type="dxa"/>
              <w:right w:w="15" w:type="dxa"/>
            </w:tcMar>
            <w:vAlign w:val="center"/>
          </w:tcPr>
          <w:p w14:paraId="07E60FA8" w14:textId="77777777" w:rsidR="00E255A2" w:rsidRPr="000D3C71" w:rsidRDefault="00953439" w:rsidP="00B9356C">
            <w:pPr>
              <w:spacing w:line="360" w:lineRule="auto"/>
              <w:rPr>
                <w:rFonts w:ascii="Arial" w:hAnsi="Arial" w:cs="Arial"/>
              </w:rPr>
            </w:pPr>
            <w:r w:rsidRPr="000D3C71">
              <w:rPr>
                <w:rFonts w:ascii="Arial" w:hAnsi="Arial" w:cs="Arial"/>
                <w:lang w:val="en"/>
              </w:rPr>
              <w:t>Total A-Share Capital</w:t>
            </w:r>
          </w:p>
        </w:tc>
        <w:tc>
          <w:tcPr>
            <w:tcW w:w="1519" w:type="dxa"/>
            <w:tcMar>
              <w:top w:w="15" w:type="dxa"/>
              <w:left w:w="15" w:type="dxa"/>
              <w:bottom w:w="0" w:type="dxa"/>
              <w:right w:w="15" w:type="dxa"/>
            </w:tcMar>
            <w:vAlign w:val="center"/>
          </w:tcPr>
          <w:p w14:paraId="1FF35169"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100,000</w:t>
            </w:r>
          </w:p>
        </w:tc>
        <w:tc>
          <w:tcPr>
            <w:tcW w:w="1839" w:type="dxa"/>
            <w:tcMar>
              <w:top w:w="15" w:type="dxa"/>
              <w:left w:w="15" w:type="dxa"/>
              <w:bottom w:w="0" w:type="dxa"/>
              <w:right w:w="15" w:type="dxa"/>
            </w:tcMar>
            <w:vAlign w:val="center"/>
          </w:tcPr>
          <w:p w14:paraId="5486F785"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8,000</w:t>
            </w:r>
          </w:p>
        </w:tc>
        <w:tc>
          <w:tcPr>
            <w:tcW w:w="1307" w:type="dxa"/>
            <w:tcMar>
              <w:top w:w="15" w:type="dxa"/>
              <w:left w:w="15" w:type="dxa"/>
              <w:bottom w:w="0" w:type="dxa"/>
              <w:right w:w="15" w:type="dxa"/>
            </w:tcMar>
            <w:vAlign w:val="center"/>
          </w:tcPr>
          <w:p w14:paraId="58D28301"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5,000</w:t>
            </w:r>
          </w:p>
        </w:tc>
      </w:tr>
      <w:tr w:rsidR="00824725" w:rsidRPr="000D3C71" w14:paraId="7093B6B7" w14:textId="77777777" w:rsidTr="009D7349">
        <w:trPr>
          <w:trHeight w:val="285"/>
          <w:jc w:val="center"/>
        </w:trPr>
        <w:tc>
          <w:tcPr>
            <w:tcW w:w="3908" w:type="dxa"/>
            <w:tcMar>
              <w:top w:w="15" w:type="dxa"/>
              <w:left w:w="15" w:type="dxa"/>
              <w:bottom w:w="0" w:type="dxa"/>
              <w:right w:w="15" w:type="dxa"/>
            </w:tcMar>
            <w:vAlign w:val="center"/>
          </w:tcPr>
          <w:p w14:paraId="443D3B80" w14:textId="77777777" w:rsidR="00E255A2" w:rsidRPr="000D3C71" w:rsidRDefault="00953439" w:rsidP="00B9356C">
            <w:pPr>
              <w:spacing w:line="360" w:lineRule="auto"/>
              <w:rPr>
                <w:rFonts w:ascii="Arial" w:hAnsi="Arial" w:cs="Arial"/>
              </w:rPr>
            </w:pPr>
            <w:r w:rsidRPr="000D3C71">
              <w:rPr>
                <w:rFonts w:ascii="Arial" w:hAnsi="Arial" w:cs="Arial"/>
                <w:lang w:val="en"/>
              </w:rPr>
              <w:t>Non-Free-Float Shares</w:t>
            </w:r>
          </w:p>
        </w:tc>
        <w:tc>
          <w:tcPr>
            <w:tcW w:w="1519" w:type="dxa"/>
            <w:tcMar>
              <w:top w:w="15" w:type="dxa"/>
              <w:left w:w="15" w:type="dxa"/>
              <w:bottom w:w="0" w:type="dxa"/>
              <w:right w:w="15" w:type="dxa"/>
            </w:tcMar>
            <w:vAlign w:val="center"/>
          </w:tcPr>
          <w:p w14:paraId="7C206AF9"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91,000</w:t>
            </w:r>
          </w:p>
        </w:tc>
        <w:tc>
          <w:tcPr>
            <w:tcW w:w="1839" w:type="dxa"/>
            <w:tcMar>
              <w:top w:w="15" w:type="dxa"/>
              <w:left w:w="15" w:type="dxa"/>
              <w:bottom w:w="0" w:type="dxa"/>
              <w:right w:w="15" w:type="dxa"/>
            </w:tcMar>
            <w:vAlign w:val="center"/>
          </w:tcPr>
          <w:p w14:paraId="02B4CB9F"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4,500</w:t>
            </w:r>
          </w:p>
        </w:tc>
        <w:tc>
          <w:tcPr>
            <w:tcW w:w="1307" w:type="dxa"/>
            <w:tcMar>
              <w:top w:w="15" w:type="dxa"/>
              <w:left w:w="15" w:type="dxa"/>
              <w:bottom w:w="0" w:type="dxa"/>
              <w:right w:w="15" w:type="dxa"/>
            </w:tcMar>
            <w:vAlign w:val="center"/>
          </w:tcPr>
          <w:p w14:paraId="6CF43B4C"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900</w:t>
            </w:r>
          </w:p>
        </w:tc>
      </w:tr>
      <w:tr w:rsidR="00824725" w:rsidRPr="000D3C71" w14:paraId="1BB0B566" w14:textId="77777777" w:rsidTr="009D7349">
        <w:trPr>
          <w:trHeight w:val="285"/>
          <w:jc w:val="center"/>
        </w:trPr>
        <w:tc>
          <w:tcPr>
            <w:tcW w:w="3908" w:type="dxa"/>
            <w:tcMar>
              <w:top w:w="15" w:type="dxa"/>
              <w:left w:w="15" w:type="dxa"/>
              <w:bottom w:w="0" w:type="dxa"/>
              <w:right w:w="15" w:type="dxa"/>
            </w:tcMar>
            <w:vAlign w:val="center"/>
          </w:tcPr>
          <w:p w14:paraId="6DD56ECF" w14:textId="77777777" w:rsidR="00E255A2" w:rsidRPr="000D3C71" w:rsidRDefault="00953439" w:rsidP="00B9356C">
            <w:pPr>
              <w:spacing w:line="360" w:lineRule="auto"/>
              <w:rPr>
                <w:rFonts w:ascii="Arial" w:hAnsi="Arial" w:cs="Arial"/>
              </w:rPr>
            </w:pPr>
            <w:r w:rsidRPr="000D3C71">
              <w:rPr>
                <w:rFonts w:ascii="Arial" w:hAnsi="Arial" w:cs="Arial"/>
                <w:lang w:val="en"/>
              </w:rPr>
              <w:t>Free-Float Shares = Total A-Share Capital − Non-Free-Float Shares</w:t>
            </w:r>
          </w:p>
        </w:tc>
        <w:tc>
          <w:tcPr>
            <w:tcW w:w="1519" w:type="dxa"/>
            <w:tcMar>
              <w:top w:w="15" w:type="dxa"/>
              <w:left w:w="15" w:type="dxa"/>
              <w:bottom w:w="0" w:type="dxa"/>
              <w:right w:w="15" w:type="dxa"/>
            </w:tcMar>
            <w:vAlign w:val="center"/>
          </w:tcPr>
          <w:p w14:paraId="3008DD6E"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9,000</w:t>
            </w:r>
          </w:p>
        </w:tc>
        <w:tc>
          <w:tcPr>
            <w:tcW w:w="1839" w:type="dxa"/>
            <w:tcMar>
              <w:top w:w="15" w:type="dxa"/>
              <w:left w:w="15" w:type="dxa"/>
              <w:bottom w:w="0" w:type="dxa"/>
              <w:right w:w="15" w:type="dxa"/>
            </w:tcMar>
            <w:vAlign w:val="center"/>
          </w:tcPr>
          <w:p w14:paraId="5F23A3E5"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3,500</w:t>
            </w:r>
          </w:p>
        </w:tc>
        <w:tc>
          <w:tcPr>
            <w:tcW w:w="1307" w:type="dxa"/>
            <w:tcMar>
              <w:top w:w="15" w:type="dxa"/>
              <w:left w:w="15" w:type="dxa"/>
              <w:bottom w:w="0" w:type="dxa"/>
              <w:right w:w="15" w:type="dxa"/>
            </w:tcMar>
            <w:vAlign w:val="center"/>
          </w:tcPr>
          <w:p w14:paraId="75536759"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4,100</w:t>
            </w:r>
          </w:p>
        </w:tc>
      </w:tr>
      <w:tr w:rsidR="00824725" w:rsidRPr="000D3C71" w14:paraId="58283D5C" w14:textId="77777777" w:rsidTr="009D7349">
        <w:trPr>
          <w:trHeight w:val="285"/>
          <w:jc w:val="center"/>
        </w:trPr>
        <w:tc>
          <w:tcPr>
            <w:tcW w:w="3908" w:type="dxa"/>
            <w:tcMar>
              <w:top w:w="15" w:type="dxa"/>
              <w:left w:w="15" w:type="dxa"/>
              <w:bottom w:w="0" w:type="dxa"/>
              <w:right w:w="15" w:type="dxa"/>
            </w:tcMar>
            <w:vAlign w:val="center"/>
          </w:tcPr>
          <w:p w14:paraId="652BCB77" w14:textId="77777777" w:rsidR="00E255A2" w:rsidRPr="000D3C71" w:rsidRDefault="00953439" w:rsidP="00B9356C">
            <w:pPr>
              <w:spacing w:line="360" w:lineRule="auto"/>
              <w:rPr>
                <w:rFonts w:ascii="Arial" w:hAnsi="Arial" w:cs="Arial"/>
              </w:rPr>
            </w:pPr>
            <w:r w:rsidRPr="000D3C71">
              <w:rPr>
                <w:rFonts w:ascii="Arial" w:hAnsi="Arial" w:cs="Arial"/>
                <w:lang w:val="en"/>
              </w:rPr>
              <w:t>Free-Float Ratio = Free-Float Shares / Total A-Share Capital</w:t>
            </w:r>
          </w:p>
        </w:tc>
        <w:tc>
          <w:tcPr>
            <w:tcW w:w="1519" w:type="dxa"/>
            <w:tcMar>
              <w:top w:w="15" w:type="dxa"/>
              <w:left w:w="15" w:type="dxa"/>
              <w:bottom w:w="0" w:type="dxa"/>
              <w:right w:w="15" w:type="dxa"/>
            </w:tcMar>
            <w:vAlign w:val="center"/>
          </w:tcPr>
          <w:p w14:paraId="5C298406"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9.0%</w:t>
            </w:r>
          </w:p>
        </w:tc>
        <w:tc>
          <w:tcPr>
            <w:tcW w:w="1839" w:type="dxa"/>
            <w:tcMar>
              <w:top w:w="15" w:type="dxa"/>
              <w:left w:w="15" w:type="dxa"/>
              <w:bottom w:w="0" w:type="dxa"/>
              <w:right w:w="15" w:type="dxa"/>
            </w:tcMar>
            <w:vAlign w:val="center"/>
          </w:tcPr>
          <w:p w14:paraId="3FBAB452"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43.8%</w:t>
            </w:r>
          </w:p>
        </w:tc>
        <w:tc>
          <w:tcPr>
            <w:tcW w:w="1307" w:type="dxa"/>
            <w:tcMar>
              <w:top w:w="15" w:type="dxa"/>
              <w:left w:w="15" w:type="dxa"/>
              <w:bottom w:w="0" w:type="dxa"/>
              <w:right w:w="15" w:type="dxa"/>
            </w:tcMar>
            <w:vAlign w:val="center"/>
          </w:tcPr>
          <w:p w14:paraId="78A474F8"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82.0%</w:t>
            </w:r>
          </w:p>
        </w:tc>
      </w:tr>
      <w:tr w:rsidR="00824725" w:rsidRPr="000D3C71" w14:paraId="342E07E1" w14:textId="77777777" w:rsidTr="009D7349">
        <w:trPr>
          <w:trHeight w:val="285"/>
          <w:jc w:val="center"/>
        </w:trPr>
        <w:tc>
          <w:tcPr>
            <w:tcW w:w="3908" w:type="dxa"/>
            <w:tcMar>
              <w:top w:w="15" w:type="dxa"/>
              <w:left w:w="15" w:type="dxa"/>
              <w:bottom w:w="0" w:type="dxa"/>
              <w:right w:w="15" w:type="dxa"/>
            </w:tcMar>
            <w:vAlign w:val="center"/>
          </w:tcPr>
          <w:p w14:paraId="1AC6E896" w14:textId="77777777" w:rsidR="00E255A2" w:rsidRPr="000D3C71" w:rsidRDefault="00953439" w:rsidP="00B9356C">
            <w:pPr>
              <w:spacing w:line="360" w:lineRule="auto"/>
              <w:rPr>
                <w:rFonts w:ascii="Arial" w:hAnsi="Arial" w:cs="Arial"/>
              </w:rPr>
            </w:pPr>
            <w:r w:rsidRPr="000D3C71">
              <w:rPr>
                <w:rFonts w:ascii="Arial" w:hAnsi="Arial" w:cs="Arial"/>
                <w:lang w:val="en"/>
              </w:rPr>
              <w:t>Weighting Factor</w:t>
            </w:r>
          </w:p>
        </w:tc>
        <w:tc>
          <w:tcPr>
            <w:tcW w:w="1519" w:type="dxa"/>
            <w:tcMar>
              <w:top w:w="15" w:type="dxa"/>
              <w:left w:w="15" w:type="dxa"/>
              <w:bottom w:w="0" w:type="dxa"/>
              <w:right w:w="15" w:type="dxa"/>
            </w:tcMar>
            <w:vAlign w:val="center"/>
          </w:tcPr>
          <w:p w14:paraId="5BD58720"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9%</w:t>
            </w:r>
          </w:p>
        </w:tc>
        <w:tc>
          <w:tcPr>
            <w:tcW w:w="1839" w:type="dxa"/>
            <w:tcMar>
              <w:top w:w="15" w:type="dxa"/>
              <w:left w:w="15" w:type="dxa"/>
              <w:bottom w:w="0" w:type="dxa"/>
              <w:right w:w="15" w:type="dxa"/>
            </w:tcMar>
            <w:vAlign w:val="center"/>
          </w:tcPr>
          <w:p w14:paraId="29ADBF27"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50%</w:t>
            </w:r>
          </w:p>
        </w:tc>
        <w:tc>
          <w:tcPr>
            <w:tcW w:w="1307" w:type="dxa"/>
            <w:tcMar>
              <w:top w:w="15" w:type="dxa"/>
              <w:left w:w="15" w:type="dxa"/>
              <w:bottom w:w="0" w:type="dxa"/>
              <w:right w:w="15" w:type="dxa"/>
            </w:tcMar>
            <w:vAlign w:val="center"/>
          </w:tcPr>
          <w:p w14:paraId="098AFD8F"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100%</w:t>
            </w:r>
          </w:p>
        </w:tc>
      </w:tr>
      <w:tr w:rsidR="00824725" w:rsidRPr="000D3C71" w14:paraId="2124C519" w14:textId="77777777" w:rsidTr="009D7349">
        <w:trPr>
          <w:trHeight w:val="285"/>
          <w:jc w:val="center"/>
        </w:trPr>
        <w:tc>
          <w:tcPr>
            <w:tcW w:w="3908" w:type="dxa"/>
            <w:tcMar>
              <w:top w:w="15" w:type="dxa"/>
              <w:left w:w="15" w:type="dxa"/>
              <w:bottom w:w="0" w:type="dxa"/>
              <w:right w:w="15" w:type="dxa"/>
            </w:tcMar>
            <w:vAlign w:val="center"/>
          </w:tcPr>
          <w:p w14:paraId="64F10DAA" w14:textId="77777777" w:rsidR="00E255A2" w:rsidRPr="000D3C71" w:rsidRDefault="00953439" w:rsidP="00B9356C">
            <w:pPr>
              <w:spacing w:line="360" w:lineRule="auto"/>
              <w:rPr>
                <w:rFonts w:ascii="Arial" w:hAnsi="Arial" w:cs="Arial"/>
              </w:rPr>
            </w:pPr>
            <w:r w:rsidRPr="000D3C71">
              <w:rPr>
                <w:rFonts w:ascii="Arial" w:hAnsi="Arial" w:cs="Arial"/>
                <w:lang w:val="en"/>
              </w:rPr>
              <w:t>Adjusted Shares</w:t>
            </w:r>
          </w:p>
        </w:tc>
        <w:tc>
          <w:tcPr>
            <w:tcW w:w="1519" w:type="dxa"/>
            <w:tcMar>
              <w:top w:w="15" w:type="dxa"/>
              <w:left w:w="15" w:type="dxa"/>
              <w:bottom w:w="0" w:type="dxa"/>
              <w:right w:w="15" w:type="dxa"/>
            </w:tcMar>
            <w:vAlign w:val="center"/>
          </w:tcPr>
          <w:p w14:paraId="0EA6252D"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9000</w:t>
            </w:r>
          </w:p>
        </w:tc>
        <w:tc>
          <w:tcPr>
            <w:tcW w:w="1839" w:type="dxa"/>
            <w:tcMar>
              <w:top w:w="15" w:type="dxa"/>
              <w:left w:w="15" w:type="dxa"/>
              <w:bottom w:w="0" w:type="dxa"/>
              <w:right w:w="15" w:type="dxa"/>
            </w:tcMar>
            <w:vAlign w:val="center"/>
          </w:tcPr>
          <w:p w14:paraId="16ECF0D6"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4000</w:t>
            </w:r>
          </w:p>
        </w:tc>
        <w:tc>
          <w:tcPr>
            <w:tcW w:w="1307" w:type="dxa"/>
            <w:tcMar>
              <w:top w:w="15" w:type="dxa"/>
              <w:left w:w="15" w:type="dxa"/>
              <w:bottom w:w="0" w:type="dxa"/>
              <w:right w:w="15" w:type="dxa"/>
            </w:tcMar>
            <w:vAlign w:val="center"/>
          </w:tcPr>
          <w:p w14:paraId="1AE01225" w14:textId="77777777" w:rsidR="00E255A2" w:rsidRPr="000D3C71" w:rsidRDefault="00953439" w:rsidP="00503FB4">
            <w:pPr>
              <w:spacing w:line="360" w:lineRule="auto"/>
              <w:ind w:firstLineChars="200" w:firstLine="420"/>
              <w:jc w:val="center"/>
              <w:rPr>
                <w:rFonts w:ascii="Arial" w:hAnsi="Arial" w:cs="Arial"/>
              </w:rPr>
            </w:pPr>
            <w:r w:rsidRPr="000D3C71">
              <w:rPr>
                <w:rFonts w:ascii="Arial" w:hAnsi="Arial" w:cs="Arial"/>
                <w:lang w:val="en"/>
              </w:rPr>
              <w:t>5000</w:t>
            </w:r>
          </w:p>
        </w:tc>
      </w:tr>
    </w:tbl>
    <w:p w14:paraId="1AAA17A4"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4.6 Total Return and Net Total Return Indices</w:t>
      </w:r>
    </w:p>
    <w:p w14:paraId="0A59B3F7"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To better serve investors’ analytical needs, China Securities Index Co., Ltd. also calculates daily closing values for the CSI 300 Total Return Index and CSI 300 Net Total Return Index.</w:t>
      </w:r>
    </w:p>
    <w:p w14:paraId="2E59C5DA"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These are supplementary versions of the CSI 300 Index, which reflect the reinvestment of constituent company cash dividends on a pre-tax and post-tax basis, respectively, enabling investors to assess total return performance.</w:t>
      </w:r>
    </w:p>
    <w:p w14:paraId="4507FBBC"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 Formulas:</w:t>
      </w:r>
    </w:p>
    <w:p w14:paraId="5E513655" w14:textId="77777777" w:rsidR="00E255A2" w:rsidRDefault="00953439" w:rsidP="00503FB4">
      <w:pPr>
        <w:spacing w:line="360" w:lineRule="auto"/>
        <w:ind w:firstLineChars="200" w:firstLine="420"/>
        <w:rPr>
          <w:rFonts w:ascii="Arial" w:hAnsi="Arial" w:cs="Arial"/>
          <w:lang w:val="en"/>
        </w:rPr>
      </w:pPr>
      <w:r w:rsidRPr="000D3C71">
        <w:rPr>
          <w:rFonts w:ascii="Arial" w:hAnsi="Arial" w:cs="Arial"/>
          <w:lang w:val="en"/>
        </w:rPr>
        <w:t>CSI 300 Total Return Index:</w:t>
      </w:r>
    </w:p>
    <w:p w14:paraId="380881BB" w14:textId="773D375F" w:rsidR="00363CD3" w:rsidRPr="000D3C71" w:rsidRDefault="00363CD3" w:rsidP="00503FB4">
      <w:pPr>
        <w:spacing w:line="360" w:lineRule="auto"/>
        <w:ind w:firstLineChars="200" w:firstLine="420"/>
        <w:rPr>
          <w:rFonts w:ascii="Arial" w:hAnsi="Arial" w:cs="Arial"/>
        </w:rPr>
      </w:pPr>
      <w:r>
        <w:rPr>
          <w:noProof/>
        </w:rPr>
        <w:drawing>
          <wp:inline distT="0" distB="0" distL="0" distR="0" wp14:anchorId="02824116" wp14:editId="1233C2F5">
            <wp:extent cx="5274310" cy="303530"/>
            <wp:effectExtent l="0" t="0" r="2540" b="1270"/>
            <wp:docPr id="1525649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49976" name=""/>
                    <pic:cNvPicPr/>
                  </pic:nvPicPr>
                  <pic:blipFill>
                    <a:blip r:embed="rId14"/>
                    <a:stretch>
                      <a:fillRect/>
                    </a:stretch>
                  </pic:blipFill>
                  <pic:spPr>
                    <a:xfrm>
                      <a:off x="0" y="0"/>
                      <a:ext cx="5274310" cy="303530"/>
                    </a:xfrm>
                    <a:prstGeom prst="rect">
                      <a:avLst/>
                    </a:prstGeom>
                  </pic:spPr>
                </pic:pic>
              </a:graphicData>
            </a:graphic>
          </wp:inline>
        </w:drawing>
      </w:r>
    </w:p>
    <w:p w14:paraId="1055BA9C"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Here, T denotes any trading day, and T–1 denotes the previous trading day. The adjusted opening reference price reflects ex-dividend adjustments for corporate events such as cash dividend distributions.</w:t>
      </w:r>
    </w:p>
    <w:p w14:paraId="43E4A09A"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CSI 300 Net Total Return Index:</w:t>
      </w:r>
    </w:p>
    <w:p w14:paraId="470472CD" w14:textId="737BC45C" w:rsidR="00E255A2" w:rsidRPr="000D3C71" w:rsidRDefault="00923877" w:rsidP="00DF628C">
      <w:pPr>
        <w:spacing w:line="360" w:lineRule="auto"/>
        <w:ind w:firstLineChars="200" w:firstLine="420"/>
        <w:rPr>
          <w:rFonts w:ascii="Arial" w:hAnsi="Arial" w:cs="Arial"/>
        </w:rPr>
      </w:pPr>
      <w:r>
        <w:rPr>
          <w:noProof/>
        </w:rPr>
        <w:drawing>
          <wp:inline distT="0" distB="0" distL="0" distR="0" wp14:anchorId="6E28F468" wp14:editId="610F61B0">
            <wp:extent cx="5274310" cy="275590"/>
            <wp:effectExtent l="0" t="0" r="2540" b="0"/>
            <wp:docPr id="121654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4732" name=""/>
                    <pic:cNvPicPr/>
                  </pic:nvPicPr>
                  <pic:blipFill>
                    <a:blip r:embed="rId15"/>
                    <a:stretch>
                      <a:fillRect/>
                    </a:stretch>
                  </pic:blipFill>
                  <pic:spPr>
                    <a:xfrm>
                      <a:off x="0" y="0"/>
                      <a:ext cx="5274310" cy="275590"/>
                    </a:xfrm>
                    <a:prstGeom prst="rect">
                      <a:avLst/>
                    </a:prstGeom>
                  </pic:spPr>
                </pic:pic>
              </a:graphicData>
            </a:graphic>
          </wp:inline>
        </w:drawing>
      </w:r>
      <w:r w:rsidR="00953439" w:rsidRPr="000D3C71">
        <w:rPr>
          <w:rFonts w:ascii="Arial" w:hAnsi="Arial" w:cs="Arial"/>
          <w:lang w:val="en"/>
        </w:rPr>
        <w:t xml:space="preserve">Here, T denotes any trading day, and T–1 denotes the previous trading day. The adjusted net opening reference price represents the after-tax price adjusted for cash dividends, with an applicable tax rate of 10%. </w:t>
      </w:r>
    </w:p>
    <w:p w14:paraId="10B4FB57" w14:textId="77777777" w:rsidR="00E255A2" w:rsidRPr="000D3C71" w:rsidRDefault="00953439">
      <w:pPr>
        <w:spacing w:line="360" w:lineRule="auto"/>
        <w:ind w:firstLineChars="200" w:firstLine="420"/>
        <w:rPr>
          <w:rFonts w:ascii="Arial" w:hAnsi="Arial" w:cs="Arial"/>
        </w:rPr>
      </w:pPr>
      <w:r w:rsidRPr="000D3C71">
        <w:rPr>
          <w:rFonts w:ascii="Arial" w:hAnsi="Arial" w:cs="Arial"/>
          <w:lang w:val="en"/>
        </w:rPr>
        <w:t>Unlike the price index, the Total Return and Net Total Return Indices do not naturally decline upon dividend payments by constituent companies.</w:t>
      </w:r>
    </w:p>
    <w:p w14:paraId="0A1AFC6B" w14:textId="77777777" w:rsidR="00E255A2" w:rsidRPr="000D3C71" w:rsidRDefault="00953439" w:rsidP="00503FB4">
      <w:pPr>
        <w:pStyle w:val="Heading2"/>
        <w:numPr>
          <w:ilvl w:val="0"/>
          <w:numId w:val="37"/>
        </w:numPr>
        <w:tabs>
          <w:tab w:val="clear" w:pos="900"/>
          <w:tab w:val="left" w:pos="720"/>
        </w:tabs>
        <w:spacing w:before="0" w:after="0" w:line="360" w:lineRule="auto"/>
        <w:ind w:left="0" w:firstLineChars="200" w:firstLine="422"/>
        <w:rPr>
          <w:rFonts w:eastAsia="宋体" w:cs="Arial"/>
          <w:sz w:val="21"/>
          <w:szCs w:val="21"/>
        </w:rPr>
      </w:pPr>
      <w:bookmarkStart w:id="194" w:name="_Toc55309983"/>
      <w:bookmarkStart w:id="195" w:name="_Toc211640970"/>
      <w:r w:rsidRPr="000D3C71">
        <w:rPr>
          <w:rFonts w:eastAsia="宋体" w:cs="Arial"/>
          <w:sz w:val="21"/>
          <w:szCs w:val="21"/>
          <w:lang w:val="en"/>
        </w:rPr>
        <w:t>Index Adjustments</w:t>
      </w:r>
      <w:bookmarkEnd w:id="194"/>
      <w:bookmarkEnd w:id="195"/>
    </w:p>
    <w:p w14:paraId="4852571C"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To ensure index continuity, when constituent membership, share capital structure, or adjusted market capitalization changes due to non-trading factors, the CSI 300 Index applies the divisor adjustment method to modify the original divisor.</w:t>
      </w:r>
    </w:p>
    <w:p w14:paraId="19E49688"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5.1 Adjustment Formula</w:t>
      </w:r>
    </w:p>
    <w:p w14:paraId="773149F3" w14:textId="5B17F089" w:rsidR="000A3372" w:rsidRPr="000A3372" w:rsidRDefault="000A3372" w:rsidP="000A3372">
      <w:pPr>
        <w:jc w:val="center"/>
        <w:rPr>
          <w:lang w:val="en"/>
        </w:rPr>
      </w:pPr>
      <w:r>
        <w:rPr>
          <w:noProof/>
        </w:rPr>
        <w:drawing>
          <wp:inline distT="0" distB="0" distL="0" distR="0" wp14:anchorId="4073A89D" wp14:editId="301857A4">
            <wp:extent cx="4704762" cy="495238"/>
            <wp:effectExtent l="0" t="0" r="635" b="635"/>
            <wp:docPr id="655900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00949" name=""/>
                    <pic:cNvPicPr/>
                  </pic:nvPicPr>
                  <pic:blipFill>
                    <a:blip r:embed="rId16"/>
                    <a:stretch>
                      <a:fillRect/>
                    </a:stretch>
                  </pic:blipFill>
                  <pic:spPr>
                    <a:xfrm>
                      <a:off x="0" y="0"/>
                      <a:ext cx="4704762" cy="495238"/>
                    </a:xfrm>
                    <a:prstGeom prst="rect">
                      <a:avLst/>
                    </a:prstGeom>
                  </pic:spPr>
                </pic:pic>
              </a:graphicData>
            </a:graphic>
          </wp:inline>
        </w:drawing>
      </w:r>
    </w:p>
    <w:p w14:paraId="61E86943" w14:textId="7C1D12C8" w:rsidR="000A3372" w:rsidRPr="00085983" w:rsidRDefault="000A3372" w:rsidP="00503FB4">
      <w:pPr>
        <w:spacing w:line="360" w:lineRule="auto"/>
        <w:ind w:firstLineChars="200" w:firstLine="420"/>
        <w:rPr>
          <w:rFonts w:ascii="Arial" w:hAnsi="Arial" w:cs="Arial"/>
          <w:lang w:val="en"/>
        </w:rPr>
      </w:pPr>
      <w:r w:rsidRPr="00085983">
        <w:rPr>
          <w:rFonts w:ascii="Arial" w:hAnsi="Arial" w:cs="Arial"/>
          <w:lang w:val="en"/>
        </w:rPr>
        <w:t>Where: Post-Adjustment Adjusted Market Cap = Pre-Adjustment Adjusted Market Cap + Added (or Reduced) Adjusted Market Cap.</w:t>
      </w:r>
    </w:p>
    <w:p w14:paraId="7002EA1F"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This formula yields the new divisor used for subsequent index calculations.</w:t>
      </w:r>
    </w:p>
    <w:p w14:paraId="3ADCA7D7"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5.2 Events Requiring Adjustments</w:t>
      </w:r>
    </w:p>
    <w:p w14:paraId="3E1FB142"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Corporate Actions Affecting Security Prices</w:t>
      </w:r>
    </w:p>
    <w:p w14:paraId="60DFF5C2" w14:textId="77777777" w:rsidR="00E255A2" w:rsidRPr="000D3C71" w:rsidRDefault="00953439" w:rsidP="00503FB4">
      <w:pPr>
        <w:numPr>
          <w:ilvl w:val="0"/>
          <w:numId w:val="40"/>
        </w:numPr>
        <w:spacing w:line="360" w:lineRule="auto"/>
        <w:ind w:left="0" w:firstLineChars="200" w:firstLine="420"/>
        <w:rPr>
          <w:rFonts w:ascii="Arial" w:hAnsi="Arial" w:cs="Arial"/>
        </w:rPr>
      </w:pPr>
      <w:r w:rsidRPr="000D3C71">
        <w:rPr>
          <w:rFonts w:ascii="Arial" w:hAnsi="Arial" w:cs="Arial"/>
          <w:lang w:val="en"/>
        </w:rPr>
        <w:t>Ex-dividend: Where a constituent goes ex-dividend, no divisor adjustment is made to the CSI 300 Index, allowing its level to reflect the natural price drop. The Total Return and Net Total Return Indices, however, are adjusted based on the ex-dividend reference price prior to the ex-dividend date.</w:t>
      </w:r>
    </w:p>
    <w:p w14:paraId="0AE409F1" w14:textId="77777777" w:rsidR="00E255A2" w:rsidRPr="000D3C71" w:rsidRDefault="00953439" w:rsidP="00503FB4">
      <w:pPr>
        <w:numPr>
          <w:ilvl w:val="0"/>
          <w:numId w:val="40"/>
        </w:numPr>
        <w:spacing w:line="360" w:lineRule="auto"/>
        <w:ind w:left="0" w:firstLineChars="200" w:firstLine="420"/>
        <w:rPr>
          <w:rFonts w:ascii="Arial" w:hAnsi="Arial" w:cs="Arial"/>
        </w:rPr>
      </w:pPr>
      <w:r w:rsidRPr="000D3C71">
        <w:rPr>
          <w:rFonts w:ascii="Arial" w:hAnsi="Arial" w:cs="Arial"/>
          <w:lang w:val="en"/>
        </w:rPr>
        <w:t>Ex-rights: For stock dividends, rights issues, stock splits, or reverse splits, the index is adjusted before the ex-rights base date using the new share capital and price:</w:t>
      </w:r>
    </w:p>
    <w:p w14:paraId="695E1CB1" w14:textId="77777777" w:rsidR="00E255A2" w:rsidRPr="000D3C71" w:rsidRDefault="00953439" w:rsidP="00503FB4">
      <w:pPr>
        <w:tabs>
          <w:tab w:val="left" w:pos="980"/>
        </w:tabs>
        <w:spacing w:line="360" w:lineRule="auto"/>
        <w:ind w:firstLineChars="200" w:firstLine="422"/>
        <w:rPr>
          <w:rFonts w:ascii="Arial" w:hAnsi="Arial" w:cs="Arial"/>
          <w:b/>
        </w:rPr>
      </w:pPr>
      <w:r w:rsidRPr="000D3C71">
        <w:rPr>
          <w:rFonts w:ascii="Arial" w:hAnsi="Arial" w:cs="Arial"/>
          <w:b/>
          <w:bCs/>
          <w:lang w:val="en"/>
        </w:rPr>
        <w:t>Post-Adjustment Adjusted Market Cap = Ex-rights Price × Adjusted Shares Post-rights + Pre-Adjustment Adjusted Market Cap (excluding the ex-rights security).</w:t>
      </w:r>
    </w:p>
    <w:p w14:paraId="5A7FB0B4"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5.2.2 Other Corporate Actions Causing Share Capital Changes</w:t>
      </w:r>
    </w:p>
    <w:p w14:paraId="6FAAD3A3" w14:textId="77777777" w:rsidR="00E255A2" w:rsidRPr="000D3C71" w:rsidRDefault="00953439" w:rsidP="00503FB4">
      <w:pPr>
        <w:numPr>
          <w:ilvl w:val="0"/>
          <w:numId w:val="40"/>
        </w:numPr>
        <w:spacing w:line="360" w:lineRule="auto"/>
        <w:ind w:left="0" w:firstLineChars="200" w:firstLine="420"/>
        <w:rPr>
          <w:rFonts w:ascii="Arial" w:hAnsi="Arial" w:cs="Arial"/>
        </w:rPr>
      </w:pPr>
      <w:r w:rsidRPr="000D3C71">
        <w:rPr>
          <w:rFonts w:ascii="Arial" w:hAnsi="Arial" w:cs="Arial"/>
          <w:lang w:val="en"/>
        </w:rPr>
        <w:t>When a constituent’s total share capital changes due to events such as share placements, bond conversions, or option exercises, and the cumulative change reaches or exceeds 5%, an interim adjustment is made before the effective date of the change:</w:t>
      </w:r>
    </w:p>
    <w:p w14:paraId="078603C9" w14:textId="77777777" w:rsidR="00E255A2" w:rsidRPr="000D3C71" w:rsidRDefault="00953439" w:rsidP="00503FB4">
      <w:pPr>
        <w:spacing w:line="360" w:lineRule="auto"/>
        <w:ind w:firstLineChars="200" w:firstLine="422"/>
        <w:jc w:val="center"/>
        <w:rPr>
          <w:rFonts w:ascii="Arial" w:hAnsi="Arial" w:cs="Arial"/>
          <w:b/>
        </w:rPr>
      </w:pPr>
      <w:r w:rsidRPr="000D3C71">
        <w:rPr>
          <w:rFonts w:ascii="Arial" w:hAnsi="Arial" w:cs="Arial"/>
          <w:b/>
          <w:bCs/>
          <w:lang w:val="en"/>
        </w:rPr>
        <w:t>Post-Adjustment Adjusted Market Cap = Closing Price × Adjusted Shares Post-change</w:t>
      </w:r>
    </w:p>
    <w:p w14:paraId="3B4BFB54" w14:textId="77777777" w:rsidR="00E255A2" w:rsidRPr="000D3C71" w:rsidRDefault="00953439" w:rsidP="00503FB4">
      <w:pPr>
        <w:numPr>
          <w:ilvl w:val="0"/>
          <w:numId w:val="40"/>
        </w:numPr>
        <w:spacing w:line="360" w:lineRule="auto"/>
        <w:ind w:left="0" w:firstLineChars="200" w:firstLine="420"/>
        <w:rPr>
          <w:rFonts w:ascii="Arial" w:hAnsi="Arial" w:cs="Arial"/>
        </w:rPr>
      </w:pPr>
      <w:r w:rsidRPr="000D3C71">
        <w:rPr>
          <w:rFonts w:ascii="Arial" w:hAnsi="Arial" w:cs="Arial"/>
          <w:lang w:val="en"/>
        </w:rPr>
        <w:t>When the cumulative change in share capital is less than 5%, the adjustment is deferred until the next periodic review and implemented prior to its effective date.</w:t>
      </w:r>
    </w:p>
    <w:p w14:paraId="6CF5A007"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5.2.3 Constituent Adjustments</w:t>
      </w:r>
    </w:p>
    <w:p w14:paraId="26091692" w14:textId="77777777" w:rsidR="00E255A2" w:rsidRPr="000D3C71" w:rsidRDefault="00953439" w:rsidP="00503FB4">
      <w:pPr>
        <w:numPr>
          <w:ilvl w:val="0"/>
          <w:numId w:val="40"/>
        </w:numPr>
        <w:spacing w:line="360" w:lineRule="auto"/>
        <w:ind w:left="0" w:firstLineChars="200" w:firstLine="420"/>
        <w:rPr>
          <w:rFonts w:ascii="Arial" w:hAnsi="Arial" w:cs="Arial"/>
        </w:rPr>
      </w:pPr>
      <w:r w:rsidRPr="000D3C71">
        <w:rPr>
          <w:rFonts w:ascii="Arial" w:hAnsi="Arial" w:cs="Arial"/>
          <w:lang w:val="en"/>
        </w:rPr>
        <w:t>When periodic or interim constituent adjustments take effect, the index is reconstituted in advance of the effective date to reflect those changes.</w:t>
      </w:r>
    </w:p>
    <w:p w14:paraId="45B3936A" w14:textId="77777777" w:rsidR="00E255A2" w:rsidRPr="000D3C71" w:rsidRDefault="00953439" w:rsidP="00503FB4">
      <w:pPr>
        <w:pStyle w:val="Heading2"/>
        <w:numPr>
          <w:ilvl w:val="0"/>
          <w:numId w:val="37"/>
        </w:numPr>
        <w:tabs>
          <w:tab w:val="clear" w:pos="900"/>
          <w:tab w:val="left" w:pos="720"/>
        </w:tabs>
        <w:spacing w:before="0" w:after="0" w:line="360" w:lineRule="auto"/>
        <w:ind w:left="0" w:firstLineChars="200" w:firstLine="422"/>
        <w:rPr>
          <w:rFonts w:eastAsia="宋体" w:cs="Arial"/>
          <w:sz w:val="21"/>
          <w:szCs w:val="21"/>
        </w:rPr>
      </w:pPr>
      <w:bookmarkStart w:id="196" w:name="_Toc55309984"/>
      <w:bookmarkStart w:id="197" w:name="_Toc211640971"/>
      <w:r w:rsidRPr="000D3C71">
        <w:rPr>
          <w:rFonts w:eastAsia="宋体" w:cs="Arial"/>
          <w:sz w:val="21"/>
          <w:szCs w:val="21"/>
          <w:lang w:val="en"/>
        </w:rPr>
        <w:t>Periodic Review</w:t>
      </w:r>
      <w:bookmarkEnd w:id="196"/>
      <w:bookmarkEnd w:id="197"/>
    </w:p>
    <w:p w14:paraId="152B2213"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In keeping with the principles of constituent stability and dynamic index tracking, China Securities Index Co., Ltd. conducts a semi-annual review of the CSI 300 Index constituents and makes adjustments based on the review results.</w:t>
      </w:r>
    </w:p>
    <w:p w14:paraId="32C70134"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6.1 Review Schedule</w:t>
      </w:r>
    </w:p>
    <w:p w14:paraId="1785FA9D"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Constituents of the CSI 300 Index are typically reviewed in late May and late November each year, with adjustments implemented on the next trading day following the second Friday of June and December, respectively.</w:t>
      </w:r>
    </w:p>
    <w:p w14:paraId="09EC20E5"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6.2 Review Data</w:t>
      </w:r>
    </w:p>
    <w:p w14:paraId="42B6AC16"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For the May review, reference data consist mainly of trading and financial information from May 1 of the preceding year through April 30 of the review year (for newly listed securities, data are used beginning on the sixth trading day after listing). For the November review, reference data consist mainly of trading and financial information from November 1 of the preceding year through October 31 of the review year (for newly listed securities, data are used beginning on the sixth trading day after listing).</w:t>
      </w:r>
    </w:p>
    <w:p w14:paraId="74F498FD"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6.3 Number of Constituent Adjustments</w:t>
      </w:r>
    </w:p>
    <w:p w14:paraId="669E094F"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During each periodic review, the constituent turnover ratio generally does not exceed 10%.</w:t>
      </w:r>
    </w:p>
    <w:p w14:paraId="57D80F03"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6.4 Trading Value Buffer Rule for Existing Constituents</w:t>
      </w:r>
    </w:p>
    <w:p w14:paraId="16C4D4D6"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If an existing CSI 300 Index constituent ranks within the top 60% of the eligible universe by average daily trading value, it advances to the next selection stage based on its average daily total market capitalization.</w:t>
      </w:r>
    </w:p>
    <w:p w14:paraId="1825DB0E"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6.5 Buffer Rule</w:t>
      </w:r>
    </w:p>
    <w:p w14:paraId="7F515C3C"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To effectively reduce constituent turnover, a buffer rule is applied during periodic reviews: new candidate securities ranked within the top 240 are given priority for inclusion, and existing constituents ranked within the top 360 are given priority for retention.</w:t>
      </w:r>
    </w:p>
    <w:p w14:paraId="6F4C53D1"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6.6 Reserve List</w:t>
      </w:r>
    </w:p>
    <w:p w14:paraId="5E387A07"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During each periodic review, a reserve list is established for use in interim constituent adjustments between reviews. See Section 8 “Reserve List” for details.</w:t>
      </w:r>
    </w:p>
    <w:p w14:paraId="37AE372F"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6.7 Handling of Long-Suspended Securities</w:t>
      </w:r>
    </w:p>
    <w:p w14:paraId="3187DB58" w14:textId="77777777" w:rsidR="00E255A2" w:rsidRPr="000D3C71" w:rsidRDefault="00953439" w:rsidP="00503FB4">
      <w:pPr>
        <w:numPr>
          <w:ilvl w:val="0"/>
          <w:numId w:val="40"/>
        </w:numPr>
        <w:spacing w:line="360" w:lineRule="auto"/>
        <w:ind w:left="0" w:firstLineChars="200" w:firstLine="420"/>
        <w:rPr>
          <w:rFonts w:ascii="Arial" w:hAnsi="Arial" w:cs="Arial"/>
        </w:rPr>
      </w:pPr>
      <w:r w:rsidRPr="000D3C71">
        <w:rPr>
          <w:rFonts w:ascii="Arial" w:hAnsi="Arial" w:cs="Arial"/>
          <w:lang w:val="en"/>
        </w:rPr>
        <w:t>For existing constituents:</w:t>
      </w:r>
    </w:p>
    <w:p w14:paraId="43F68D92" w14:textId="77777777" w:rsidR="00E255A2" w:rsidRPr="000D3C71" w:rsidRDefault="00953439" w:rsidP="00503FB4">
      <w:pPr>
        <w:pStyle w:val="BodyTextIndent"/>
        <w:numPr>
          <w:ilvl w:val="1"/>
          <w:numId w:val="41"/>
        </w:numPr>
        <w:tabs>
          <w:tab w:val="left" w:pos="1751"/>
          <w:tab w:val="left" w:pos="8336"/>
        </w:tabs>
        <w:spacing w:after="0" w:line="360" w:lineRule="auto"/>
        <w:ind w:leftChars="0" w:left="0" w:firstLineChars="200" w:firstLine="420"/>
        <w:jc w:val="left"/>
        <w:rPr>
          <w:rFonts w:ascii="Arial" w:hAnsi="Arial" w:cs="Arial"/>
        </w:rPr>
      </w:pPr>
      <w:r w:rsidRPr="000D3C71">
        <w:rPr>
          <w:rFonts w:ascii="Arial" w:hAnsi="Arial" w:cs="Arial"/>
          <w:lang w:val="en"/>
        </w:rPr>
        <w:t> A constituent that has been continuously suspended from trading for more than 25 trading days as of the data cutoff date and has not resumed trading will, in principle, be given priority for deletion if it appears on the candidate deletion list.</w:t>
      </w:r>
    </w:p>
    <w:p w14:paraId="64A1E245" w14:textId="77777777" w:rsidR="00E255A2" w:rsidRPr="000D3C71" w:rsidRDefault="00953439" w:rsidP="00503FB4">
      <w:pPr>
        <w:pStyle w:val="BodyTextIndent"/>
        <w:numPr>
          <w:ilvl w:val="1"/>
          <w:numId w:val="41"/>
        </w:numPr>
        <w:tabs>
          <w:tab w:val="left" w:pos="1751"/>
          <w:tab w:val="left" w:pos="8336"/>
        </w:tabs>
        <w:spacing w:after="0" w:line="360" w:lineRule="auto"/>
        <w:ind w:leftChars="0" w:left="0" w:firstLineChars="200" w:firstLine="420"/>
        <w:jc w:val="left"/>
        <w:rPr>
          <w:rFonts w:ascii="Arial" w:hAnsi="Arial" w:cs="Arial"/>
        </w:rPr>
      </w:pPr>
      <w:r w:rsidRPr="000D3C71">
        <w:rPr>
          <w:rFonts w:ascii="Arial" w:hAnsi="Arial" w:cs="Arial"/>
          <w:lang w:val="en"/>
        </w:rPr>
        <w:t>A constituent that has been continuously suspended for nearly 25 trading days as of the cutoff date and has not resumed trading will be reviewed by the Index Expert Committee to determine whether it should be slated for deletion.</w:t>
      </w:r>
    </w:p>
    <w:p w14:paraId="31724ECE" w14:textId="77777777" w:rsidR="00E255A2" w:rsidRPr="000D3C71" w:rsidRDefault="00953439" w:rsidP="00503FB4">
      <w:pPr>
        <w:pStyle w:val="BodyTextIndent"/>
        <w:numPr>
          <w:ilvl w:val="1"/>
          <w:numId w:val="41"/>
        </w:numPr>
        <w:tabs>
          <w:tab w:val="left" w:pos="1751"/>
          <w:tab w:val="left" w:pos="8336"/>
        </w:tabs>
        <w:spacing w:after="0" w:line="360" w:lineRule="auto"/>
        <w:ind w:leftChars="0" w:left="0" w:firstLineChars="200" w:firstLine="420"/>
        <w:jc w:val="left"/>
        <w:rPr>
          <w:rFonts w:ascii="Arial" w:hAnsi="Arial" w:cs="Arial"/>
        </w:rPr>
      </w:pPr>
      <w:r w:rsidRPr="000D3C71">
        <w:rPr>
          <w:rFonts w:ascii="Arial" w:hAnsi="Arial" w:cs="Arial"/>
          <w:lang w:val="en"/>
        </w:rPr>
        <w:t>If a constituent slated for deletion remains suspended due to a material adverse event, it will be removed from the index at a price of RMB 0.00001. If trading resumes at least one trading day prior to the effective date, the deletion price will be changed to the most recent closing price, which will be publicly announced. In other cases, deletion will occur at the last closing price before suspension.</w:t>
      </w:r>
    </w:p>
    <w:p w14:paraId="0945F13B" w14:textId="77777777" w:rsidR="00E255A2" w:rsidRPr="000D3C71" w:rsidRDefault="00953439" w:rsidP="00503FB4">
      <w:pPr>
        <w:numPr>
          <w:ilvl w:val="0"/>
          <w:numId w:val="40"/>
        </w:numPr>
        <w:spacing w:line="360" w:lineRule="auto"/>
        <w:ind w:left="0" w:firstLineChars="200" w:firstLine="420"/>
        <w:rPr>
          <w:rFonts w:ascii="Arial" w:hAnsi="Arial" w:cs="Arial"/>
        </w:rPr>
      </w:pPr>
      <w:r w:rsidRPr="000D3C71">
        <w:rPr>
          <w:rFonts w:ascii="Arial" w:hAnsi="Arial" w:cs="Arial"/>
          <w:lang w:val="en"/>
        </w:rPr>
        <w:t>For non-constituent securities:</w:t>
      </w:r>
    </w:p>
    <w:p w14:paraId="5B442758" w14:textId="77777777" w:rsidR="00E255A2" w:rsidRPr="000D3C71" w:rsidRDefault="00953439" w:rsidP="00503FB4">
      <w:pPr>
        <w:pStyle w:val="BodyTextIndent"/>
        <w:numPr>
          <w:ilvl w:val="1"/>
          <w:numId w:val="41"/>
        </w:numPr>
        <w:tabs>
          <w:tab w:val="left" w:pos="1751"/>
          <w:tab w:val="left" w:pos="8336"/>
        </w:tabs>
        <w:spacing w:after="0" w:line="360" w:lineRule="auto"/>
        <w:ind w:leftChars="0" w:left="0" w:firstLineChars="200" w:firstLine="420"/>
        <w:jc w:val="left"/>
        <w:rPr>
          <w:rFonts w:ascii="Arial" w:hAnsi="Arial" w:cs="Arial"/>
        </w:rPr>
      </w:pPr>
      <w:r w:rsidRPr="000D3C71">
        <w:rPr>
          <w:rFonts w:ascii="Arial" w:hAnsi="Arial" w:cs="Arial"/>
          <w:lang w:val="en"/>
        </w:rPr>
        <w:t>A security that remains suspended as of the date of the Index Expert Committee meeting and has no clear expectation of resuming trading will, in principle, not be eligible as a candidate for inclusion.</w:t>
      </w:r>
    </w:p>
    <w:p w14:paraId="60A63CAC" w14:textId="77777777" w:rsidR="00E255A2" w:rsidRPr="000D3C71" w:rsidRDefault="00953439" w:rsidP="00503FB4">
      <w:pPr>
        <w:pStyle w:val="BodyTextIndent"/>
        <w:numPr>
          <w:ilvl w:val="1"/>
          <w:numId w:val="41"/>
        </w:numPr>
        <w:tabs>
          <w:tab w:val="left" w:pos="1751"/>
          <w:tab w:val="left" w:pos="8336"/>
        </w:tabs>
        <w:spacing w:after="0" w:line="360" w:lineRule="auto"/>
        <w:ind w:leftChars="0" w:left="0" w:firstLineChars="200" w:firstLine="420"/>
        <w:jc w:val="left"/>
        <w:rPr>
          <w:rFonts w:ascii="Arial" w:hAnsi="Arial" w:cs="Arial"/>
        </w:rPr>
      </w:pPr>
      <w:r w:rsidRPr="000D3C71">
        <w:rPr>
          <w:rFonts w:ascii="Arial" w:hAnsi="Arial" w:cs="Arial"/>
          <w:lang w:val="en"/>
        </w:rPr>
        <w:t>A security suspended for more than 25 trading days during the review period may be included only after it has resumed trading for at least three months, except under special circumstances approved by the Index Expert Committee.</w:t>
      </w:r>
    </w:p>
    <w:p w14:paraId="64728D4A" w14:textId="77777777" w:rsidR="00E255A2" w:rsidRPr="000D3C71" w:rsidRDefault="00953439" w:rsidP="00503FB4">
      <w:pPr>
        <w:pStyle w:val="BodyTextIndent"/>
        <w:numPr>
          <w:ilvl w:val="1"/>
          <w:numId w:val="41"/>
        </w:numPr>
        <w:tabs>
          <w:tab w:val="left" w:pos="1751"/>
          <w:tab w:val="left" w:pos="8336"/>
        </w:tabs>
        <w:spacing w:after="0" w:line="360" w:lineRule="auto"/>
        <w:ind w:leftChars="0" w:left="0" w:firstLineChars="200" w:firstLine="420"/>
        <w:jc w:val="left"/>
        <w:rPr>
          <w:rFonts w:ascii="Arial" w:hAnsi="Arial" w:cs="Arial"/>
        </w:rPr>
      </w:pPr>
      <w:r w:rsidRPr="000D3C71">
        <w:rPr>
          <w:rFonts w:ascii="Arial" w:hAnsi="Arial" w:cs="Arial"/>
          <w:lang w:val="en"/>
        </w:rPr>
        <w:t>For newly added constituents suspended between the announcement date and the effective date, China Securities Index Co., Ltd. will determine whether an adjustment is required.</w:t>
      </w:r>
    </w:p>
    <w:p w14:paraId="19A344EC"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6.8 Handling of Securities with Financial Losses</w:t>
      </w:r>
    </w:p>
    <w:p w14:paraId="2797E0EF" w14:textId="77777777" w:rsidR="001D29F2" w:rsidRPr="000D3C71" w:rsidRDefault="00953439" w:rsidP="00B9356C">
      <w:pPr>
        <w:spacing w:line="360" w:lineRule="auto"/>
        <w:ind w:firstLineChars="200" w:firstLine="420"/>
        <w:rPr>
          <w:rFonts w:ascii="Arial" w:hAnsi="Arial" w:cs="Arial"/>
        </w:rPr>
      </w:pPr>
      <w:r w:rsidRPr="000D3C71">
        <w:rPr>
          <w:rFonts w:ascii="Arial" w:hAnsi="Arial" w:cs="Arial"/>
          <w:lang w:val="en"/>
        </w:rPr>
        <w:t>During periodic reviews, securities reporting financial losses are, in principle, excluded from new inclusion—except for STAR Market-listed securities or where inclusion is necessary to maintain index representativeness.</w:t>
      </w:r>
    </w:p>
    <w:p w14:paraId="089D0A71" w14:textId="77777777" w:rsidR="00E255A2" w:rsidRPr="000D3C71" w:rsidRDefault="00953439" w:rsidP="00503FB4">
      <w:pPr>
        <w:pStyle w:val="Heading2"/>
        <w:numPr>
          <w:ilvl w:val="0"/>
          <w:numId w:val="37"/>
        </w:numPr>
        <w:tabs>
          <w:tab w:val="clear" w:pos="900"/>
          <w:tab w:val="left" w:pos="720"/>
        </w:tabs>
        <w:spacing w:before="0" w:after="0" w:line="360" w:lineRule="auto"/>
        <w:ind w:left="0" w:firstLineChars="200" w:firstLine="422"/>
        <w:rPr>
          <w:rFonts w:eastAsia="宋体" w:cs="Arial"/>
          <w:sz w:val="21"/>
          <w:szCs w:val="21"/>
        </w:rPr>
      </w:pPr>
      <w:bookmarkStart w:id="198" w:name="_Toc55309985"/>
      <w:bookmarkStart w:id="199" w:name="_Toc211640972"/>
      <w:r w:rsidRPr="000D3C71">
        <w:rPr>
          <w:rFonts w:eastAsia="宋体" w:cs="Arial"/>
          <w:sz w:val="21"/>
          <w:szCs w:val="21"/>
          <w:lang w:val="en"/>
        </w:rPr>
        <w:t>Interim Adjustments</w:t>
      </w:r>
      <w:bookmarkEnd w:id="198"/>
      <w:bookmarkEnd w:id="199"/>
    </w:p>
    <w:p w14:paraId="0BA64DD2" w14:textId="77777777" w:rsidR="001D29F2" w:rsidRPr="000D3C71" w:rsidRDefault="00953439" w:rsidP="00B9356C">
      <w:pPr>
        <w:spacing w:line="360" w:lineRule="auto"/>
        <w:ind w:firstLineChars="200" w:firstLine="420"/>
        <w:rPr>
          <w:rFonts w:ascii="Arial" w:hAnsi="Arial" w:cs="Arial"/>
        </w:rPr>
      </w:pPr>
      <w:r w:rsidRPr="000D3C71">
        <w:rPr>
          <w:rFonts w:ascii="Arial" w:hAnsi="Arial" w:cs="Arial"/>
          <w:lang w:val="en"/>
        </w:rPr>
        <w:t>When special circumstances arise that affect the representativeness or investability of the index, China Securities Index Co., Ltd. will implement interim adjustments to the CSI 300 Index constituents.</w:t>
      </w:r>
    </w:p>
    <w:p w14:paraId="060430AF"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7.1 New Listings</w:t>
      </w:r>
    </w:p>
    <w:p w14:paraId="69CC504F"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The total market capitalization at issuance (Offer Price × Total Shares Outstanding) of a new security is compared to the average daily total market capitalization of all eligible securities over the past year starting from the new issue’s listing announcement date. If a new security satisfies the eligibility criteria and ranks within the top 10 in the Shanghai and Shenzhen markets by total market capitalization at issuance, it will be eligible for fast entry: the security will be included in the index after its tenth trading day, replacing the constituent with the lowest average daily total market capitalization over the prior year. This rule does not apply to STAR Market or ChiNext Market securities.</w:t>
      </w:r>
    </w:p>
    <w:p w14:paraId="5E31E361"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If the listing date of the new issue falls within 20 trading days of the next periodic review effective date, fast entry will not apply and any inclusion will be implemented concurrently with the periodic review.</w:t>
      </w:r>
    </w:p>
    <w:p w14:paraId="3AECE3AB"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7.2 Mergers and Acquisitions</w:t>
      </w:r>
    </w:p>
    <w:p w14:paraId="2CE6F263" w14:textId="77777777" w:rsidR="00E255A2" w:rsidRPr="000D3C71" w:rsidRDefault="00953439" w:rsidP="00503FB4">
      <w:pPr>
        <w:numPr>
          <w:ilvl w:val="0"/>
          <w:numId w:val="40"/>
        </w:numPr>
        <w:spacing w:line="360" w:lineRule="auto"/>
        <w:ind w:left="0" w:firstLineChars="200" w:firstLine="422"/>
        <w:rPr>
          <w:rFonts w:ascii="Arial" w:hAnsi="Arial" w:cs="Arial"/>
        </w:rPr>
      </w:pPr>
      <w:r w:rsidRPr="000D3C71">
        <w:rPr>
          <w:rFonts w:ascii="Arial" w:hAnsi="Arial" w:cs="Arial"/>
          <w:b/>
          <w:bCs/>
          <w:lang w:val="en"/>
        </w:rPr>
        <w:t xml:space="preserve">Merger between constituent companies: </w:t>
      </w:r>
      <w:r w:rsidRPr="000D3C71">
        <w:rPr>
          <w:rFonts w:ascii="Arial" w:hAnsi="Arial" w:cs="Arial"/>
          <w:lang w:val="en"/>
        </w:rPr>
        <w:t>the merged company’s security retains index membership; any resulting constituent vacancy is filled by the top-ranked security on the reserve list.</w:t>
      </w:r>
    </w:p>
    <w:p w14:paraId="32ED7C95" w14:textId="77777777" w:rsidR="00E255A2" w:rsidRPr="000D3C71" w:rsidRDefault="00953439" w:rsidP="00503FB4">
      <w:pPr>
        <w:numPr>
          <w:ilvl w:val="0"/>
          <w:numId w:val="40"/>
        </w:numPr>
        <w:spacing w:line="360" w:lineRule="auto"/>
        <w:ind w:left="0" w:firstLineChars="200" w:firstLine="422"/>
        <w:rPr>
          <w:rFonts w:ascii="Arial" w:hAnsi="Arial" w:cs="Arial"/>
        </w:rPr>
      </w:pPr>
      <w:r w:rsidRPr="000D3C71">
        <w:rPr>
          <w:rFonts w:ascii="Arial" w:hAnsi="Arial" w:cs="Arial"/>
          <w:b/>
          <w:bCs/>
          <w:lang w:val="en"/>
        </w:rPr>
        <w:t xml:space="preserve">Merger of a non-constituent into a constituent: </w:t>
      </w:r>
      <w:r w:rsidRPr="000D3C71">
        <w:rPr>
          <w:rFonts w:ascii="Arial" w:hAnsi="Arial" w:cs="Arial"/>
          <w:lang w:val="en"/>
        </w:rPr>
        <w:t>the merged company’s security retains index membership.</w:t>
      </w:r>
    </w:p>
    <w:p w14:paraId="5BD137F2" w14:textId="77777777" w:rsidR="00E255A2" w:rsidRPr="000D3C71" w:rsidRDefault="00953439" w:rsidP="00503FB4">
      <w:pPr>
        <w:numPr>
          <w:ilvl w:val="0"/>
          <w:numId w:val="40"/>
        </w:numPr>
        <w:spacing w:line="360" w:lineRule="auto"/>
        <w:ind w:left="0" w:firstLineChars="200" w:firstLine="422"/>
        <w:rPr>
          <w:rFonts w:ascii="Arial" w:hAnsi="Arial" w:cs="Arial"/>
        </w:rPr>
      </w:pPr>
      <w:r w:rsidRPr="000D3C71">
        <w:rPr>
          <w:rFonts w:ascii="Arial" w:hAnsi="Arial" w:cs="Arial"/>
          <w:b/>
          <w:bCs/>
          <w:lang w:val="en"/>
        </w:rPr>
        <w:t>Merger of a constituent into a non-constituent:</w:t>
      </w:r>
      <w:r w:rsidRPr="000D3C71">
        <w:rPr>
          <w:rFonts w:ascii="Arial" w:hAnsi="Arial" w:cs="Arial"/>
          <w:lang w:val="en"/>
        </w:rPr>
        <w:t xml:space="preserve"> if the merged company ranks above the highest-ranked security on the reserve list, it becomes a constituent; otherwise, the top-ranked reserve security is included instead.</w:t>
      </w:r>
    </w:p>
    <w:p w14:paraId="045C1443" w14:textId="77777777" w:rsidR="00E255A2" w:rsidRPr="000D3C71" w:rsidRDefault="00953439" w:rsidP="00503FB4">
      <w:pPr>
        <w:numPr>
          <w:ilvl w:val="0"/>
          <w:numId w:val="40"/>
        </w:numPr>
        <w:spacing w:line="360" w:lineRule="auto"/>
        <w:ind w:left="0" w:firstLineChars="200" w:firstLine="422"/>
        <w:rPr>
          <w:rFonts w:ascii="Arial" w:hAnsi="Arial" w:cs="Arial"/>
        </w:rPr>
      </w:pPr>
      <w:r w:rsidRPr="000D3C71">
        <w:rPr>
          <w:rFonts w:ascii="Arial" w:hAnsi="Arial" w:cs="Arial"/>
          <w:b/>
          <w:bCs/>
          <w:lang w:val="en"/>
        </w:rPr>
        <w:t xml:space="preserve">Mergers, spin-offs, acquisitions, or reorganizations among non-constituents: </w:t>
      </w:r>
      <w:r w:rsidRPr="000D3C71">
        <w:rPr>
          <w:rFonts w:ascii="Arial" w:hAnsi="Arial" w:cs="Arial"/>
          <w:lang w:val="en"/>
        </w:rPr>
        <w:t>if such actions produce a newly listed security ranking within the top 10 of the entire market by total market capitalization, it is eligible for fast entry; otherwise, it will be considered at the next periodic review.</w:t>
      </w:r>
    </w:p>
    <w:p w14:paraId="5B81FD8B"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7.3 Spin-offs</w:t>
      </w:r>
    </w:p>
    <w:p w14:paraId="24E8A7F9"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If a constituent company is split into two or more entities, the eligibility of the resulting companies’ securities depends on their market-capitalization rankings:</w:t>
      </w:r>
    </w:p>
    <w:p w14:paraId="0C80B335" w14:textId="77777777" w:rsidR="00E255A2" w:rsidRPr="000D3C71" w:rsidRDefault="00953439" w:rsidP="00503FB4">
      <w:pPr>
        <w:numPr>
          <w:ilvl w:val="0"/>
          <w:numId w:val="40"/>
        </w:numPr>
        <w:spacing w:line="360" w:lineRule="auto"/>
        <w:ind w:left="0" w:firstLineChars="200" w:firstLine="420"/>
        <w:rPr>
          <w:rFonts w:ascii="Arial" w:hAnsi="Arial" w:cs="Arial"/>
        </w:rPr>
      </w:pPr>
      <w:r w:rsidRPr="000D3C71">
        <w:rPr>
          <w:rFonts w:ascii="Arial" w:hAnsi="Arial" w:cs="Arial"/>
          <w:lang w:val="en"/>
        </w:rPr>
        <w:t>If all spun</w:t>
      </w:r>
      <w:r w:rsidRPr="000D3C71">
        <w:rPr>
          <w:rFonts w:ascii="Arial" w:hAnsi="Arial" w:cs="Arial"/>
          <w:lang w:val="en"/>
        </w:rPr>
        <w:noBreakHyphen/>
        <w:t>off companies rank higher than the lowest-ranking existing constituent, they all become new constituents, and the lowest-ranking existing constituent(s) are removed to maintain a total of 300.</w:t>
      </w:r>
    </w:p>
    <w:p w14:paraId="4067B120" w14:textId="77777777" w:rsidR="00E255A2" w:rsidRPr="000D3C71" w:rsidRDefault="00953439" w:rsidP="00503FB4">
      <w:pPr>
        <w:numPr>
          <w:ilvl w:val="0"/>
          <w:numId w:val="40"/>
        </w:numPr>
        <w:spacing w:line="360" w:lineRule="auto"/>
        <w:ind w:left="0" w:firstLineChars="200" w:firstLine="420"/>
        <w:rPr>
          <w:rFonts w:ascii="Arial" w:hAnsi="Arial" w:cs="Arial"/>
        </w:rPr>
      </w:pPr>
      <w:r w:rsidRPr="000D3C71">
        <w:rPr>
          <w:rFonts w:ascii="Arial" w:hAnsi="Arial" w:cs="Arial"/>
          <w:lang w:val="en"/>
        </w:rPr>
        <w:t>If some of the spun-off companies rank higher than the lowest-ranking existing constituent, only those companies are added, and an equivalent number of the lowest-ranking existing constituents are removed to maintain the total count.</w:t>
      </w:r>
    </w:p>
    <w:p w14:paraId="6502ED4B" w14:textId="77777777" w:rsidR="00E255A2" w:rsidRPr="000D3C71" w:rsidRDefault="00953439" w:rsidP="00503FB4">
      <w:pPr>
        <w:numPr>
          <w:ilvl w:val="0"/>
          <w:numId w:val="40"/>
        </w:numPr>
        <w:spacing w:line="360" w:lineRule="auto"/>
        <w:ind w:left="0" w:firstLineChars="200" w:firstLine="420"/>
        <w:rPr>
          <w:rFonts w:ascii="Arial" w:hAnsi="Arial" w:cs="Arial"/>
        </w:rPr>
      </w:pPr>
      <w:r w:rsidRPr="000D3C71">
        <w:rPr>
          <w:rFonts w:ascii="Arial" w:hAnsi="Arial" w:cs="Arial"/>
          <w:lang w:val="en"/>
        </w:rPr>
        <w:t>If all resulting securities rank below the lowest-ranking constituent but above the highest reserve-list security, the top-ranked spun</w:t>
      </w:r>
      <w:r w:rsidRPr="000D3C71">
        <w:rPr>
          <w:rFonts w:ascii="Arial" w:hAnsi="Arial" w:cs="Arial"/>
          <w:lang w:val="en"/>
        </w:rPr>
        <w:noBreakHyphen/>
        <w:t>off company replaces the original one.</w:t>
      </w:r>
    </w:p>
    <w:p w14:paraId="3C5639D4" w14:textId="77777777" w:rsidR="00E255A2" w:rsidRPr="000D3C71" w:rsidRDefault="00953439" w:rsidP="00503FB4">
      <w:pPr>
        <w:numPr>
          <w:ilvl w:val="0"/>
          <w:numId w:val="40"/>
        </w:numPr>
        <w:spacing w:line="360" w:lineRule="auto"/>
        <w:ind w:left="0" w:firstLineChars="200" w:firstLine="420"/>
        <w:rPr>
          <w:rFonts w:ascii="Arial" w:hAnsi="Arial" w:cs="Arial"/>
        </w:rPr>
      </w:pPr>
      <w:r w:rsidRPr="000D3C71">
        <w:rPr>
          <w:rFonts w:ascii="Arial" w:hAnsi="Arial" w:cs="Arial"/>
          <w:lang w:val="en"/>
        </w:rPr>
        <w:t>If all resulting securities rank below both the lowest-ranking constituent and the top reserve security, the latter replaces the spun</w:t>
      </w:r>
      <w:r w:rsidRPr="000D3C71">
        <w:rPr>
          <w:rFonts w:ascii="Arial" w:hAnsi="Arial" w:cs="Arial"/>
          <w:lang w:val="en"/>
        </w:rPr>
        <w:noBreakHyphen/>
        <w:t>off company.</w:t>
      </w:r>
    </w:p>
    <w:p w14:paraId="52F53CDA"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7.4 Suspensions</w:t>
      </w:r>
    </w:p>
    <w:p w14:paraId="252C51EF" w14:textId="77777777" w:rsidR="00E255A2" w:rsidRPr="000D3C71" w:rsidRDefault="00953439" w:rsidP="00503FB4">
      <w:pPr>
        <w:spacing w:line="360" w:lineRule="auto"/>
        <w:ind w:firstLineChars="200" w:firstLine="420"/>
        <w:rPr>
          <w:rFonts w:ascii="Arial" w:hAnsi="Arial" w:cs="Arial"/>
          <w:b/>
        </w:rPr>
      </w:pPr>
      <w:r w:rsidRPr="000D3C71">
        <w:rPr>
          <w:rFonts w:ascii="Arial" w:hAnsi="Arial" w:cs="Arial"/>
          <w:lang w:val="en"/>
        </w:rPr>
        <w:t>When a constituent’s trading is suspended, China Securities Index Co., Ltd. will determine whether deletion is warranted based on the suspension’s cause.</w:t>
      </w:r>
    </w:p>
    <w:p w14:paraId="30501664"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7.5 Delistings</w:t>
      </w:r>
    </w:p>
    <w:p w14:paraId="0B77C8A2" w14:textId="77777777" w:rsidR="00E255A2" w:rsidRPr="000D3C71" w:rsidRDefault="00953439" w:rsidP="00503FB4">
      <w:pPr>
        <w:spacing w:line="360" w:lineRule="auto"/>
        <w:ind w:firstLineChars="200" w:firstLine="420"/>
        <w:rPr>
          <w:rFonts w:ascii="Arial" w:hAnsi="Arial" w:cs="Arial"/>
          <w:b/>
        </w:rPr>
      </w:pPr>
      <w:r w:rsidRPr="000D3C71">
        <w:rPr>
          <w:rFonts w:ascii="Arial" w:hAnsi="Arial" w:cs="Arial"/>
          <w:lang w:val="en"/>
        </w:rPr>
        <w:t>When a constituent company is delisted, it will be removed and replaced by the top-ranked security on the reserve list.</w:t>
      </w:r>
    </w:p>
    <w:p w14:paraId="0D589B36"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7.6 Bankruptcies</w:t>
      </w:r>
    </w:p>
    <w:p w14:paraId="1B472E7A" w14:textId="77777777" w:rsidR="001D29F2" w:rsidRPr="000D3C71" w:rsidRDefault="00953439" w:rsidP="00B9356C">
      <w:pPr>
        <w:spacing w:line="360" w:lineRule="auto"/>
        <w:ind w:firstLineChars="200" w:firstLine="420"/>
        <w:rPr>
          <w:rFonts w:ascii="Arial" w:hAnsi="Arial" w:cs="Arial"/>
        </w:rPr>
      </w:pPr>
      <w:r w:rsidRPr="000D3C71">
        <w:rPr>
          <w:rFonts w:ascii="Arial" w:hAnsi="Arial" w:cs="Arial"/>
          <w:lang w:val="en"/>
        </w:rPr>
        <w:t>If a constituent company files for or is declared bankrupt, it will be removed from the index and replaced by the top-ranked reserve security.</w:t>
      </w:r>
    </w:p>
    <w:p w14:paraId="14CEB938"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7.7 Imposition of Risk Warnings</w:t>
      </w:r>
    </w:p>
    <w:p w14:paraId="59A443FA" w14:textId="77777777" w:rsidR="00E255A2" w:rsidRPr="000D3C71" w:rsidRDefault="00953439" w:rsidP="00503FB4">
      <w:pPr>
        <w:spacing w:line="360" w:lineRule="auto"/>
        <w:ind w:firstLineChars="200" w:firstLine="420"/>
        <w:jc w:val="left"/>
        <w:rPr>
          <w:rFonts w:ascii="Arial" w:hAnsi="Arial" w:cs="Arial"/>
        </w:rPr>
      </w:pPr>
      <w:r w:rsidRPr="000D3C71">
        <w:rPr>
          <w:rFonts w:ascii="Arial" w:hAnsi="Arial" w:cs="Arial"/>
          <w:lang w:val="en"/>
        </w:rPr>
        <w:t>When a constituent is placed under a “risk warning,” it will be removed from the index effective on the next trading day following the second Friday of the month after the warning is announced. For constituents designated with risk warnings in April, October, or during the period between the periodic review announcement and effective dates, the adjustment will be implemented together with the periodic review. Such changes are normally announced at least two trading days prior to the effective date.</w:t>
      </w:r>
    </w:p>
    <w:p w14:paraId="0DD0B53A" w14:textId="77777777" w:rsidR="00E255A2" w:rsidRPr="000D3C71" w:rsidRDefault="00953439" w:rsidP="00503FB4">
      <w:pPr>
        <w:pStyle w:val="Heading2"/>
        <w:numPr>
          <w:ilvl w:val="0"/>
          <w:numId w:val="37"/>
        </w:numPr>
        <w:tabs>
          <w:tab w:val="clear" w:pos="900"/>
          <w:tab w:val="left" w:pos="720"/>
        </w:tabs>
        <w:spacing w:before="0" w:after="0" w:line="360" w:lineRule="auto"/>
        <w:ind w:left="0" w:firstLineChars="200" w:firstLine="422"/>
        <w:rPr>
          <w:rFonts w:eastAsia="宋体" w:cs="Arial"/>
          <w:sz w:val="21"/>
          <w:szCs w:val="21"/>
        </w:rPr>
      </w:pPr>
      <w:bookmarkStart w:id="200" w:name="_Toc55309986"/>
      <w:bookmarkStart w:id="201" w:name="_Toc211640973"/>
      <w:r w:rsidRPr="000D3C71">
        <w:rPr>
          <w:rFonts w:eastAsia="宋体" w:cs="Arial"/>
          <w:sz w:val="21"/>
          <w:szCs w:val="21"/>
          <w:lang w:val="en"/>
        </w:rPr>
        <w:t>Reserve List</w:t>
      </w:r>
      <w:bookmarkEnd w:id="200"/>
      <w:bookmarkEnd w:id="201"/>
    </w:p>
    <w:p w14:paraId="1AC518A9"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To improve the predictability and transparency of interim adjustments, China Securities Index Co., Ltd. maintains a reserve list for the CSI 300 Index.</w:t>
      </w:r>
    </w:p>
    <w:p w14:paraId="164FD3C7" w14:textId="77777777" w:rsidR="00E255A2" w:rsidRPr="000D3C71" w:rsidRDefault="00953439" w:rsidP="00503FB4">
      <w:pPr>
        <w:numPr>
          <w:ilvl w:val="0"/>
          <w:numId w:val="40"/>
        </w:numPr>
        <w:spacing w:line="360" w:lineRule="auto"/>
        <w:ind w:left="0" w:firstLineChars="200" w:firstLine="420"/>
        <w:rPr>
          <w:rFonts w:ascii="Arial" w:hAnsi="Arial" w:cs="Arial"/>
        </w:rPr>
      </w:pPr>
      <w:r w:rsidRPr="000D3C71">
        <w:rPr>
          <w:rFonts w:ascii="Arial" w:hAnsi="Arial" w:cs="Arial"/>
          <w:lang w:val="en"/>
        </w:rPr>
        <w:t>A reserve list is compiled with each periodic review, generally equal to 5% of the number of constituents (15 securities for the CSI 300 Index).</w:t>
      </w:r>
    </w:p>
    <w:p w14:paraId="0F7C3E9B" w14:textId="77777777" w:rsidR="00E255A2" w:rsidRPr="000D3C71" w:rsidRDefault="00953439" w:rsidP="00503FB4">
      <w:pPr>
        <w:numPr>
          <w:ilvl w:val="0"/>
          <w:numId w:val="40"/>
        </w:numPr>
        <w:spacing w:line="360" w:lineRule="auto"/>
        <w:ind w:left="0" w:firstLineChars="200" w:firstLine="420"/>
        <w:rPr>
          <w:rFonts w:ascii="Arial" w:hAnsi="Arial" w:cs="Arial"/>
        </w:rPr>
      </w:pPr>
      <w:r w:rsidRPr="000D3C71">
        <w:rPr>
          <w:rFonts w:ascii="Arial" w:hAnsi="Arial" w:cs="Arial"/>
          <w:lang w:val="en"/>
        </w:rPr>
        <w:t>When a constituent vacancy arises due to delisting, merger, or similar events, replacement securities are drawn sequentially from the top of the reserve list.</w:t>
      </w:r>
    </w:p>
    <w:p w14:paraId="2C7A7476" w14:textId="77777777" w:rsidR="00E255A2" w:rsidRPr="000D3C71" w:rsidRDefault="00953439" w:rsidP="00503FB4">
      <w:pPr>
        <w:numPr>
          <w:ilvl w:val="0"/>
          <w:numId w:val="40"/>
        </w:numPr>
        <w:spacing w:line="360" w:lineRule="auto"/>
        <w:ind w:left="0" w:firstLineChars="200" w:firstLine="420"/>
        <w:rPr>
          <w:rFonts w:ascii="Arial" w:hAnsi="Arial" w:cs="Arial"/>
        </w:rPr>
      </w:pPr>
      <w:r w:rsidRPr="000D3C71">
        <w:rPr>
          <w:rFonts w:ascii="Arial" w:hAnsi="Arial" w:cs="Arial"/>
          <w:lang w:val="en"/>
        </w:rPr>
        <w:t>If more than half of the reserve list has been utilized, China Securities Index Co., Ltd. will promptly replenish and publish an updated list.</w:t>
      </w:r>
    </w:p>
    <w:p w14:paraId="70D29686" w14:textId="77777777" w:rsidR="00E255A2" w:rsidRPr="000D3C71" w:rsidRDefault="00953439" w:rsidP="00503FB4">
      <w:pPr>
        <w:pStyle w:val="Heading2"/>
        <w:numPr>
          <w:ilvl w:val="0"/>
          <w:numId w:val="37"/>
        </w:numPr>
        <w:tabs>
          <w:tab w:val="clear" w:pos="900"/>
          <w:tab w:val="left" w:pos="720"/>
        </w:tabs>
        <w:spacing w:before="0" w:after="0" w:line="360" w:lineRule="auto"/>
        <w:ind w:left="0" w:firstLineChars="200" w:firstLine="422"/>
        <w:rPr>
          <w:rFonts w:eastAsia="宋体" w:cs="Arial"/>
          <w:sz w:val="21"/>
          <w:szCs w:val="21"/>
        </w:rPr>
      </w:pPr>
      <w:bookmarkStart w:id="202" w:name="_Toc55309987"/>
      <w:bookmarkStart w:id="203" w:name="_Toc211640974"/>
      <w:r w:rsidRPr="000D3C71">
        <w:rPr>
          <w:rFonts w:eastAsia="宋体" w:cs="Arial"/>
          <w:sz w:val="21"/>
          <w:szCs w:val="21"/>
          <w:lang w:val="en"/>
        </w:rPr>
        <w:t>Daily Maintenance</w:t>
      </w:r>
      <w:bookmarkEnd w:id="202"/>
      <w:bookmarkEnd w:id="203"/>
    </w:p>
    <w:p w14:paraId="59E593B4"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To ensure the index promptly reflects the trading conditions of its constituents, China Securities Index Co., Ltd. maintains the CSI 300 Index in accordance with the following rules:</w:t>
      </w:r>
    </w:p>
    <w:p w14:paraId="57605880" w14:textId="77777777" w:rsidR="00E255A2" w:rsidRPr="000D3C71" w:rsidRDefault="00953439" w:rsidP="00503FB4">
      <w:pPr>
        <w:numPr>
          <w:ilvl w:val="0"/>
          <w:numId w:val="40"/>
        </w:numPr>
        <w:spacing w:line="360" w:lineRule="auto"/>
        <w:ind w:left="0" w:firstLineChars="200" w:firstLine="420"/>
        <w:rPr>
          <w:rFonts w:ascii="Arial" w:hAnsi="Arial" w:cs="Arial"/>
        </w:rPr>
      </w:pPr>
      <w:r w:rsidRPr="000D3C71">
        <w:rPr>
          <w:rFonts w:ascii="Arial" w:hAnsi="Arial" w:cs="Arial"/>
          <w:lang w:val="en"/>
        </w:rPr>
        <w:t>Corporate actions are tracked and processed using listed company announcements.</w:t>
      </w:r>
    </w:p>
    <w:p w14:paraId="263006DC" w14:textId="77777777" w:rsidR="00E255A2" w:rsidRPr="000D3C71" w:rsidRDefault="00953439" w:rsidP="00503FB4">
      <w:pPr>
        <w:numPr>
          <w:ilvl w:val="0"/>
          <w:numId w:val="40"/>
        </w:numPr>
        <w:spacing w:line="360" w:lineRule="auto"/>
        <w:ind w:left="0" w:firstLineChars="200" w:firstLine="420"/>
        <w:rPr>
          <w:rFonts w:ascii="Arial" w:hAnsi="Arial" w:cs="Arial"/>
        </w:rPr>
      </w:pPr>
      <w:r w:rsidRPr="000D3C71">
        <w:rPr>
          <w:rFonts w:ascii="Arial" w:hAnsi="Arial" w:cs="Arial"/>
          <w:lang w:val="en"/>
        </w:rPr>
        <w:t>Depending on the type of corporate action, adjustments to prices or share counts are implemented on either an immediate or consolidated basis.</w:t>
      </w:r>
    </w:p>
    <w:p w14:paraId="1B83F007"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Immediate Adjustments: Reflect cash dividend payments, effective on the ex</w:t>
      </w:r>
      <w:r w:rsidRPr="000D3C71">
        <w:rPr>
          <w:rFonts w:ascii="Arial" w:hAnsi="Arial" w:cs="Arial"/>
          <w:lang w:val="en"/>
        </w:rPr>
        <w:noBreakHyphen/>
        <w:t>dividend date, or events such as stock distributions, rights issues, splits, or reverse splits that alter both price and share count, effective on the ex</w:t>
      </w:r>
      <w:r w:rsidRPr="000D3C71">
        <w:rPr>
          <w:rFonts w:ascii="Arial" w:hAnsi="Arial" w:cs="Arial"/>
          <w:lang w:val="en"/>
        </w:rPr>
        <w:noBreakHyphen/>
        <w:t>rights date.</w:t>
      </w:r>
    </w:p>
    <w:p w14:paraId="2F9C08AC"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Consolidated Adjustments: Apply to other events such as share placements, bond conversions, or option exercises. When the cumulative change in total shares outstanding reaches or exceeds 5%, an interim adjustment is made; if less than 5%, the adjustment becomes effective at the next periodic review. The effective date for an interim adjustment is generally two trading days after the share listing date specified in the relevant company announcement. (If the announcement date is later than the listing date, the trading day following the announcement is deemed the share listing date.) China Securities Index Co., Ltd. provides advance notices of such adjustments through its corporate action data service files for client reference.</w:t>
      </w:r>
    </w:p>
    <w:p w14:paraId="100576F1" w14:textId="77777777" w:rsidR="00E255A2" w:rsidRPr="000D3C71" w:rsidRDefault="00953439" w:rsidP="00503FB4">
      <w:pPr>
        <w:pStyle w:val="Heading2"/>
        <w:numPr>
          <w:ilvl w:val="0"/>
          <w:numId w:val="37"/>
        </w:numPr>
        <w:tabs>
          <w:tab w:val="clear" w:pos="900"/>
          <w:tab w:val="left" w:pos="720"/>
        </w:tabs>
        <w:spacing w:before="0" w:after="0" w:line="360" w:lineRule="auto"/>
        <w:ind w:left="0" w:firstLineChars="200" w:firstLine="422"/>
        <w:rPr>
          <w:rFonts w:eastAsia="宋体" w:cs="Arial"/>
          <w:sz w:val="21"/>
          <w:szCs w:val="21"/>
        </w:rPr>
      </w:pPr>
      <w:bookmarkStart w:id="204" w:name="_Toc55309988"/>
      <w:bookmarkStart w:id="205" w:name="_Toc145754985"/>
      <w:bookmarkStart w:id="206" w:name="_Toc211640975"/>
      <w:r w:rsidRPr="000D3C71">
        <w:rPr>
          <w:rFonts w:eastAsia="宋体" w:cs="Arial"/>
          <w:sz w:val="21"/>
          <w:szCs w:val="21"/>
          <w:lang w:val="en"/>
        </w:rPr>
        <w:t>Rule Amendments</w:t>
      </w:r>
      <w:bookmarkEnd w:id="204"/>
      <w:bookmarkEnd w:id="205"/>
      <w:bookmarkEnd w:id="206"/>
    </w:p>
    <w:p w14:paraId="3CB0C7D4" w14:textId="77777777" w:rsidR="00E255A2" w:rsidRPr="000D3C71" w:rsidRDefault="00953439" w:rsidP="00B9356C">
      <w:pPr>
        <w:spacing w:line="360" w:lineRule="auto"/>
        <w:ind w:firstLineChars="200" w:firstLine="420"/>
        <w:jc w:val="left"/>
        <w:rPr>
          <w:rFonts w:ascii="Arial" w:hAnsi="Arial" w:cs="Arial"/>
        </w:rPr>
      </w:pPr>
      <w:r w:rsidRPr="000D3C71">
        <w:rPr>
          <w:rFonts w:ascii="Arial" w:hAnsi="Arial" w:cs="Arial"/>
          <w:lang w:val="en"/>
        </w:rPr>
        <w:t>When China Securities Index Co., Ltd. identifies that amendments to index rules may be warranted—through market monitoring, Expert Committee recommendations, market feedback, or external complaints—it shall implement revisions pursuant to the Implementation Measures for the Amendment of China Securities Index Co., Ltd. Index Rules.</w:t>
      </w:r>
    </w:p>
    <w:p w14:paraId="64EEE668" w14:textId="77777777" w:rsidR="00E255A2" w:rsidRPr="000D3C71" w:rsidRDefault="00953439" w:rsidP="00503FB4">
      <w:pPr>
        <w:pStyle w:val="Heading2"/>
        <w:numPr>
          <w:ilvl w:val="0"/>
          <w:numId w:val="37"/>
        </w:numPr>
        <w:tabs>
          <w:tab w:val="clear" w:pos="900"/>
          <w:tab w:val="left" w:pos="720"/>
        </w:tabs>
        <w:spacing w:before="0" w:after="0" w:line="360" w:lineRule="auto"/>
        <w:ind w:left="0" w:firstLineChars="200" w:firstLine="422"/>
        <w:rPr>
          <w:rFonts w:eastAsia="宋体" w:cs="Arial"/>
          <w:sz w:val="21"/>
          <w:szCs w:val="21"/>
        </w:rPr>
      </w:pPr>
      <w:bookmarkStart w:id="207" w:name="_Toc55309989"/>
      <w:bookmarkStart w:id="208" w:name="_Toc145754986"/>
      <w:bookmarkStart w:id="209" w:name="_Toc211640976"/>
      <w:r w:rsidRPr="000D3C71">
        <w:rPr>
          <w:rFonts w:eastAsia="宋体" w:cs="Arial"/>
          <w:sz w:val="21"/>
          <w:szCs w:val="21"/>
          <w:lang w:val="en"/>
        </w:rPr>
        <w:t>Information Disclosure</w:t>
      </w:r>
      <w:bookmarkEnd w:id="207"/>
      <w:bookmarkEnd w:id="208"/>
      <w:bookmarkEnd w:id="209"/>
    </w:p>
    <w:p w14:paraId="3C0A0E2E"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To ensure objectivity, neutrality, and authority, China Securities Index Co., Ltd. has established a strict information disclosure framework guaranteeing transparency and fairness.</w:t>
      </w:r>
    </w:p>
    <w:p w14:paraId="68CED1DA" w14:textId="77777777" w:rsidR="00E255A2" w:rsidRPr="000D3C71" w:rsidRDefault="00953439" w:rsidP="00503FB4">
      <w:pPr>
        <w:numPr>
          <w:ilvl w:val="0"/>
          <w:numId w:val="43"/>
        </w:numPr>
        <w:spacing w:line="360" w:lineRule="auto"/>
        <w:ind w:left="0" w:firstLineChars="200" w:firstLine="420"/>
        <w:rPr>
          <w:rFonts w:ascii="Arial" w:hAnsi="Arial" w:cs="Arial"/>
        </w:rPr>
      </w:pPr>
      <w:r w:rsidRPr="000D3C71">
        <w:rPr>
          <w:rFonts w:ascii="Arial" w:hAnsi="Arial" w:cs="Arial"/>
          <w:lang w:val="en"/>
        </w:rPr>
        <w:t>Prior to public disclosure, no information may be released to external parties by any individual, including employees of the company or members of the Expert Committee. No private press interviews are permitted.</w:t>
      </w:r>
    </w:p>
    <w:p w14:paraId="61557B8C" w14:textId="77777777" w:rsidR="00E255A2" w:rsidRPr="000D3C71" w:rsidRDefault="00953439" w:rsidP="00503FB4">
      <w:pPr>
        <w:numPr>
          <w:ilvl w:val="0"/>
          <w:numId w:val="43"/>
        </w:numPr>
        <w:spacing w:line="360" w:lineRule="auto"/>
        <w:ind w:left="0" w:firstLineChars="200" w:firstLine="420"/>
        <w:rPr>
          <w:rFonts w:ascii="Arial" w:hAnsi="Arial" w:cs="Arial"/>
        </w:rPr>
      </w:pPr>
      <w:r w:rsidRPr="000D3C71">
        <w:rPr>
          <w:rFonts w:ascii="Arial" w:hAnsi="Arial" w:cs="Arial"/>
          <w:lang w:val="en"/>
        </w:rPr>
        <w:t>Designated disclosure media include (but are not limited to): China Securities Journal, Shanghai Securities News, Securities Times, the websites of the Shanghai Stock Exchange and Shenzhen Stock Exchange, and the official website of China Securities Index Co., Ltd., among others.</w:t>
      </w:r>
    </w:p>
    <w:p w14:paraId="2771A485" w14:textId="77777777" w:rsidR="00E255A2" w:rsidRPr="000D3C71" w:rsidRDefault="00953439" w:rsidP="00503FB4">
      <w:pPr>
        <w:numPr>
          <w:ilvl w:val="0"/>
          <w:numId w:val="43"/>
        </w:numPr>
        <w:spacing w:line="360" w:lineRule="auto"/>
        <w:ind w:left="0" w:firstLineChars="200" w:firstLine="420"/>
        <w:rPr>
          <w:rFonts w:ascii="Arial" w:hAnsi="Arial" w:cs="Arial"/>
        </w:rPr>
      </w:pPr>
      <w:r w:rsidRPr="000D3C71">
        <w:rPr>
          <w:rFonts w:ascii="Arial" w:hAnsi="Arial" w:cs="Arial"/>
          <w:lang w:val="en"/>
        </w:rPr>
        <w:t>Periodic review results are typically announced two weeks in advance; interim constituent changes are announced as early as possible; material revisions to index methodology or maintenance rules are announced at least three months in advance.</w:t>
      </w:r>
    </w:p>
    <w:p w14:paraId="4DC1430E" w14:textId="77777777" w:rsidR="00E255A2" w:rsidRPr="000D3C71" w:rsidRDefault="00953439" w:rsidP="00503FB4">
      <w:pPr>
        <w:pStyle w:val="Heading2"/>
        <w:numPr>
          <w:ilvl w:val="0"/>
          <w:numId w:val="37"/>
        </w:numPr>
        <w:tabs>
          <w:tab w:val="clear" w:pos="900"/>
          <w:tab w:val="left" w:pos="720"/>
        </w:tabs>
        <w:spacing w:before="0" w:after="0" w:line="360" w:lineRule="auto"/>
        <w:ind w:left="0" w:firstLineChars="200" w:firstLine="422"/>
        <w:rPr>
          <w:rFonts w:eastAsia="宋体" w:cs="Arial"/>
          <w:sz w:val="21"/>
          <w:szCs w:val="21"/>
        </w:rPr>
      </w:pPr>
      <w:bookmarkStart w:id="210" w:name="_Toc55309990"/>
      <w:bookmarkStart w:id="211" w:name="_Toc211640977"/>
      <w:r w:rsidRPr="000D3C71">
        <w:rPr>
          <w:rFonts w:eastAsia="宋体" w:cs="Arial"/>
          <w:sz w:val="21"/>
          <w:szCs w:val="21"/>
          <w:lang w:val="en"/>
        </w:rPr>
        <w:t>Index Dissemination</w:t>
      </w:r>
      <w:bookmarkEnd w:id="210"/>
      <w:bookmarkEnd w:id="211"/>
    </w:p>
    <w:p w14:paraId="0A364788"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12.1 Index Codes</w:t>
      </w:r>
    </w:p>
    <w:p w14:paraId="5F62DEE8"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Shanghai Stock Exchange Market Data System Code: 000300</w:t>
      </w:r>
    </w:p>
    <w:p w14:paraId="6F0E5474"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Shenzhen Stock Exchange Market Data System Code: 399300</w:t>
      </w:r>
    </w:p>
    <w:p w14:paraId="13CACEBE" w14:textId="77777777" w:rsidR="00E255A2" w:rsidRPr="000D3C71" w:rsidRDefault="00953439" w:rsidP="00503FB4">
      <w:pPr>
        <w:spacing w:line="360" w:lineRule="auto"/>
        <w:ind w:firstLineChars="200" w:firstLine="422"/>
        <w:rPr>
          <w:rFonts w:ascii="Arial" w:hAnsi="Arial" w:cs="Arial"/>
          <w:b/>
        </w:rPr>
      </w:pPr>
      <w:r w:rsidRPr="000D3C71">
        <w:rPr>
          <w:rFonts w:ascii="Arial" w:hAnsi="Arial" w:cs="Arial"/>
          <w:b/>
          <w:bCs/>
          <w:lang w:val="en"/>
        </w:rPr>
        <w:t>Dissemination Channels</w:t>
      </w:r>
    </w:p>
    <w:p w14:paraId="666A1860"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Official dissemination channels for the CSI 300 Index are as follows:</w:t>
      </w:r>
    </w:p>
    <w:p w14:paraId="0F361469"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(1) Real-time dissemination via the CSI Market Data System and the SSE Infonet Co., Ltd. market data dissemination system;</w:t>
      </w:r>
    </w:p>
    <w:p w14:paraId="28B9CB73"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(2) Daily dissemination through the data service platform of China Securities Index Co., Ltd.;</w:t>
      </w:r>
    </w:p>
    <w:p w14:paraId="7ABEC34E" w14:textId="77777777" w:rsidR="00E255A2" w:rsidRPr="000D3C71" w:rsidRDefault="00953439" w:rsidP="00B9356C">
      <w:pPr>
        <w:spacing w:line="360" w:lineRule="auto"/>
        <w:ind w:firstLineChars="200" w:firstLine="420"/>
        <w:rPr>
          <w:rFonts w:ascii="Arial" w:hAnsi="Arial" w:cs="Arial"/>
        </w:rPr>
      </w:pPr>
      <w:r w:rsidRPr="000D3C71">
        <w:rPr>
          <w:rFonts w:ascii="Arial" w:hAnsi="Arial" w:cs="Arial"/>
          <w:lang w:val="en"/>
        </w:rPr>
        <w:t>(3) Daily dissemination via the official website of China Securities Index Co., Ltd. (www.csindex.com.cn).</w:t>
      </w:r>
    </w:p>
    <w:p w14:paraId="035780F3" w14:textId="77777777" w:rsidR="00E255A2" w:rsidRPr="000D3C71" w:rsidRDefault="00953439" w:rsidP="00B9356C">
      <w:pPr>
        <w:tabs>
          <w:tab w:val="left" w:pos="5292"/>
          <w:tab w:val="left" w:pos="6216"/>
        </w:tabs>
        <w:spacing w:line="360" w:lineRule="auto"/>
        <w:ind w:firstLineChars="200" w:firstLine="420"/>
        <w:rPr>
          <w:rFonts w:ascii="Arial" w:hAnsi="Arial" w:cs="Arial"/>
        </w:rPr>
      </w:pPr>
      <w:r w:rsidRPr="000D3C71">
        <w:rPr>
          <w:rFonts w:ascii="Arial" w:hAnsi="Arial" w:cs="Arial"/>
          <w:lang w:val="en"/>
        </w:rPr>
        <w:t>All CSI 300 Index information shall be governed by the data released through the official channels above.</w:t>
      </w:r>
    </w:p>
    <w:p w14:paraId="4EFA9642" w14:textId="77777777" w:rsidR="00E255A2" w:rsidRPr="000D3C71" w:rsidRDefault="00953439" w:rsidP="00503FB4">
      <w:pPr>
        <w:tabs>
          <w:tab w:val="left" w:pos="5292"/>
          <w:tab w:val="left" w:pos="6216"/>
        </w:tabs>
        <w:spacing w:line="360" w:lineRule="auto"/>
        <w:ind w:firstLineChars="200" w:firstLine="422"/>
        <w:rPr>
          <w:rFonts w:ascii="Arial" w:hAnsi="Arial" w:cs="Arial"/>
          <w:b/>
        </w:rPr>
      </w:pPr>
      <w:r w:rsidRPr="000D3C71">
        <w:rPr>
          <w:rFonts w:ascii="Arial" w:hAnsi="Arial" w:cs="Arial"/>
          <w:b/>
          <w:bCs/>
          <w:lang w:val="en"/>
        </w:rPr>
        <w:t>12.3 Dissemination Frequency</w:t>
      </w:r>
    </w:p>
    <w:p w14:paraId="7E6353B7" w14:textId="77777777" w:rsidR="00E255A2" w:rsidRPr="000D3C71" w:rsidRDefault="00953439" w:rsidP="00503FB4">
      <w:pPr>
        <w:spacing w:line="360" w:lineRule="auto"/>
        <w:ind w:firstLineChars="200" w:firstLine="420"/>
        <w:rPr>
          <w:rFonts w:ascii="Arial" w:hAnsi="Arial" w:cs="Arial"/>
        </w:rPr>
      </w:pPr>
      <w:r w:rsidRPr="000D3C71">
        <w:rPr>
          <w:rFonts w:ascii="Arial" w:hAnsi="Arial" w:cs="Arial"/>
          <w:lang w:val="en"/>
        </w:rPr>
        <w:t>The CSI 300 Index is calculated and disseminated in real time, with update frequency subject to the interface specifications of the CSI Market Data System and the SSE Infonet Co., Ltd. dissemination platform.</w:t>
      </w:r>
    </w:p>
    <w:sectPr w:rsidR="00E255A2" w:rsidRPr="000D3C71" w:rsidSect="00074A9F">
      <w:footerReference w:type="default" r:id="rId1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0D41" w14:textId="77777777" w:rsidR="00627F20" w:rsidRDefault="00627F20">
      <w:r>
        <w:separator/>
      </w:r>
    </w:p>
  </w:endnote>
  <w:endnote w:type="continuationSeparator" w:id="0">
    <w:p w14:paraId="689762D9" w14:textId="77777777" w:rsidR="00627F20" w:rsidRDefault="0062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3B3A" w14:textId="77777777" w:rsidR="006876D5" w:rsidRDefault="006876D5" w:rsidP="0045755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5740" w14:textId="77777777" w:rsidR="006876D5" w:rsidRDefault="00953439" w:rsidP="00457554">
    <w:pPr>
      <w:pStyle w:val="Footer"/>
      <w:jc w:val="center"/>
    </w:pPr>
    <w:r>
      <w:rPr>
        <w:lang w:val="en"/>
      </w:rPr>
      <w:fldChar w:fldCharType="begin"/>
    </w:r>
    <w:r>
      <w:rPr>
        <w:lang w:val="en"/>
      </w:rPr>
      <w:instrText xml:space="preserve"> PAGE   \* MERGEFORMAT </w:instrText>
    </w:r>
    <w:r>
      <w:rPr>
        <w:lang w:val="en"/>
      </w:rPr>
      <w:fldChar w:fldCharType="separate"/>
    </w:r>
    <w:r>
      <w:rPr>
        <w:noProof/>
        <w:lang w:val="en"/>
      </w:rPr>
      <w:t>1</w:t>
    </w:r>
    <w:r>
      <w:rPr>
        <w:lang w:val="e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8BF5" w14:textId="77777777" w:rsidR="00627F20" w:rsidRDefault="00627F20">
      <w:r>
        <w:separator/>
      </w:r>
    </w:p>
  </w:footnote>
  <w:footnote w:type="continuationSeparator" w:id="0">
    <w:p w14:paraId="574E2196" w14:textId="77777777" w:rsidR="00627F20" w:rsidRDefault="00627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9F44" w14:textId="77777777" w:rsidR="006876D5" w:rsidRDefault="006876D5" w:rsidP="00FD004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86CD" w14:textId="77777777" w:rsidR="006876D5" w:rsidRDefault="005D4FB3" w:rsidP="00BD6E3A">
    <w:pPr>
      <w:pStyle w:val="Header"/>
      <w:jc w:val="right"/>
    </w:pPr>
    <w:r>
      <w:rPr>
        <w:lang w:val="en"/>
      </w:rPr>
      <w:t>ChinaAMC CSI 300 Exchange Traded Fund Prospectus (Update)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3769" w14:textId="77777777" w:rsidR="006876D5" w:rsidRDefault="005D4FB3" w:rsidP="00BD6E3A">
    <w:pPr>
      <w:pStyle w:val="Header"/>
      <w:jc w:val="right"/>
    </w:pPr>
    <w:r>
      <w:rPr>
        <w:lang w:val="en"/>
      </w:rPr>
      <w:t>ChinaAMC CSI 300 Exchange Traded Fund Prospectus (Update)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9.2pt;height:9.2pt" o:bullet="t">
        <v:imagedata r:id="rId1" o:title="BD14581_"/>
      </v:shape>
    </w:pict>
  </w:numPicBullet>
  <w:abstractNum w:abstractNumId="0" w15:restartNumberingAfterBreak="0">
    <w:nsid w:val="00000001"/>
    <w:multiLevelType w:val="multilevel"/>
    <w:tmpl w:val="705E56B8"/>
    <w:lvl w:ilvl="0">
      <w:start w:val="1"/>
      <w:numFmt w:val="decimal"/>
      <w:lvlText w:val="%1."/>
      <w:lvlJc w:val="left"/>
      <w:pPr>
        <w:tabs>
          <w:tab w:val="left" w:pos="900"/>
        </w:tabs>
        <w:ind w:left="237" w:hanging="57"/>
      </w:pPr>
      <w:rPr>
        <w:rFonts w:hint="eastAsia"/>
        <w:sz w:val="21"/>
        <w:szCs w:val="21"/>
      </w:rPr>
    </w:lvl>
    <w:lvl w:ilvl="1">
      <w:start w:val="1"/>
      <w:numFmt w:val="bullet"/>
      <w:lvlText w:val=""/>
      <w:lvlJc w:val="left"/>
      <w:pPr>
        <w:tabs>
          <w:tab w:val="left" w:pos="840"/>
        </w:tabs>
        <w:ind w:left="840" w:hanging="420"/>
      </w:pPr>
      <w:rPr>
        <w:rFonts w:ascii="Wingdings" w:hAnsi="Wingdings" w:hint="default"/>
        <w:sz w:val="15"/>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3"/>
    <w:multiLevelType w:val="multilevel"/>
    <w:tmpl w:val="00000003"/>
    <w:lvl w:ilvl="0">
      <w:start w:val="1"/>
      <w:numFmt w:val="bullet"/>
      <w:lvlText w:val=""/>
      <w:lvlJc w:val="left"/>
      <w:pPr>
        <w:tabs>
          <w:tab w:val="left" w:pos="980"/>
        </w:tabs>
        <w:ind w:left="980" w:hanging="420"/>
      </w:pPr>
      <w:rPr>
        <w:rFonts w:ascii="Wingdings" w:hAnsi="Wingdings" w:hint="default"/>
        <w:sz w:val="16"/>
      </w:rPr>
    </w:lvl>
    <w:lvl w:ilvl="1">
      <w:start w:val="1"/>
      <w:numFmt w:val="bullet"/>
      <w:lvlText w:val=""/>
      <w:lvlJc w:val="left"/>
      <w:pPr>
        <w:tabs>
          <w:tab w:val="left" w:pos="1400"/>
        </w:tabs>
        <w:ind w:left="1400" w:hanging="420"/>
      </w:pPr>
      <w:rPr>
        <w:rFonts w:ascii="Wingdings" w:hAnsi="Wingdings" w:hint="default"/>
        <w:sz w:val="15"/>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abstractNum w:abstractNumId="2" w15:restartNumberingAfterBreak="0">
    <w:nsid w:val="00000006"/>
    <w:multiLevelType w:val="multilevel"/>
    <w:tmpl w:val="00000006"/>
    <w:lvl w:ilvl="0">
      <w:start w:val="1"/>
      <w:numFmt w:val="bullet"/>
      <w:lvlText w:val=""/>
      <w:lvlJc w:val="left"/>
      <w:pPr>
        <w:tabs>
          <w:tab w:val="left" w:pos="980"/>
        </w:tabs>
        <w:ind w:left="980" w:hanging="420"/>
      </w:pPr>
      <w:rPr>
        <w:rFonts w:ascii="Wingdings" w:hAnsi="Wingdings" w:hint="default"/>
        <w:sz w:val="16"/>
      </w:rPr>
    </w:lvl>
    <w:lvl w:ilvl="1">
      <w:start w:val="1"/>
      <w:numFmt w:val="bullet"/>
      <w:lvlText w:val=""/>
      <w:lvlJc w:val="left"/>
      <w:pPr>
        <w:tabs>
          <w:tab w:val="left" w:pos="1400"/>
        </w:tabs>
        <w:ind w:left="1400" w:hanging="420"/>
      </w:pPr>
      <w:rPr>
        <w:rFonts w:ascii="Wingdings" w:hAnsi="Wingdings" w:hint="default"/>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abstractNum w:abstractNumId="3" w15:restartNumberingAfterBreak="0">
    <w:nsid w:val="0000000E"/>
    <w:multiLevelType w:val="multilevel"/>
    <w:tmpl w:val="4A84F6CC"/>
    <w:lvl w:ilvl="0">
      <w:start w:val="1"/>
      <w:numFmt w:val="decimal"/>
      <w:lvlText w:val="(%1)"/>
      <w:lvlJc w:val="left"/>
      <w:pPr>
        <w:tabs>
          <w:tab w:val="left" w:pos="1280"/>
        </w:tabs>
        <w:ind w:left="1280" w:hanging="720"/>
      </w:pPr>
      <w:rPr>
        <w:rFonts w:hint="eastAsia"/>
        <w:lang w:val="en-US"/>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4" w15:restartNumberingAfterBreak="0">
    <w:nsid w:val="00000011"/>
    <w:multiLevelType w:val="multilevel"/>
    <w:tmpl w:val="00000011"/>
    <w:lvl w:ilvl="0">
      <w:start w:val="1"/>
      <w:numFmt w:val="bullet"/>
      <w:lvlText w:val=""/>
      <w:lvlJc w:val="left"/>
      <w:pPr>
        <w:tabs>
          <w:tab w:val="left" w:pos="2034"/>
        </w:tabs>
        <w:ind w:left="2034" w:hanging="424"/>
      </w:pPr>
      <w:rPr>
        <w:rFonts w:ascii="Wingdings" w:hAnsi="Wingdings" w:hint="default"/>
        <w:sz w:val="15"/>
      </w:rPr>
    </w:lvl>
    <w:lvl w:ilvl="1">
      <w:start w:val="1"/>
      <w:numFmt w:val="bullet"/>
      <w:lvlText w:val=""/>
      <w:lvlJc w:val="left"/>
      <w:pPr>
        <w:tabs>
          <w:tab w:val="left" w:pos="1400"/>
        </w:tabs>
        <w:ind w:left="1400" w:hanging="420"/>
      </w:pPr>
      <w:rPr>
        <w:rFonts w:ascii="Wingdings" w:hAnsi="Wingdings" w:hint="default"/>
        <w:sz w:val="16"/>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abstractNum w:abstractNumId="5" w15:restartNumberingAfterBreak="0">
    <w:nsid w:val="00000013"/>
    <w:multiLevelType w:val="multilevel"/>
    <w:tmpl w:val="00000013"/>
    <w:lvl w:ilvl="0">
      <w:start w:val="1"/>
      <w:numFmt w:val="bullet"/>
      <w:lvlText w:val=""/>
      <w:lvlJc w:val="left"/>
      <w:pPr>
        <w:tabs>
          <w:tab w:val="left" w:pos="1214"/>
        </w:tabs>
        <w:ind w:left="1214" w:hanging="374"/>
      </w:pPr>
      <w:rPr>
        <w:rFonts w:ascii="Wingdings" w:hAnsi="Wingdings" w:hint="default"/>
        <w:sz w:val="16"/>
      </w:rPr>
    </w:lvl>
    <w:lvl w:ilvl="1">
      <w:start w:val="1"/>
      <w:numFmt w:val="bullet"/>
      <w:lvlText w:val=""/>
      <w:lvlJc w:val="left"/>
      <w:pPr>
        <w:tabs>
          <w:tab w:val="left" w:pos="1264"/>
        </w:tabs>
        <w:ind w:left="1264" w:hanging="424"/>
      </w:pPr>
      <w:rPr>
        <w:rFonts w:ascii="Wingdings" w:hAnsi="Wingdings" w:hint="default"/>
        <w:sz w:val="15"/>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 w15:restartNumberingAfterBreak="0">
    <w:nsid w:val="1A195FD7"/>
    <w:multiLevelType w:val="hybridMultilevel"/>
    <w:tmpl w:val="3BB0559C"/>
    <w:lvl w:ilvl="0" w:tplc="440CE194">
      <w:start w:val="1"/>
      <w:numFmt w:val="decimal"/>
      <w:lvlText w:val="%1、"/>
      <w:lvlJc w:val="left"/>
      <w:pPr>
        <w:tabs>
          <w:tab w:val="num" w:pos="360"/>
        </w:tabs>
        <w:ind w:left="360" w:hanging="360"/>
      </w:pPr>
      <w:rPr>
        <w:rFonts w:hint="default"/>
      </w:rPr>
    </w:lvl>
    <w:lvl w:ilvl="1" w:tplc="683674D2" w:tentative="1">
      <w:start w:val="1"/>
      <w:numFmt w:val="lowerLetter"/>
      <w:lvlText w:val="%2)"/>
      <w:lvlJc w:val="left"/>
      <w:pPr>
        <w:tabs>
          <w:tab w:val="num" w:pos="840"/>
        </w:tabs>
        <w:ind w:left="840" w:hanging="420"/>
      </w:pPr>
    </w:lvl>
    <w:lvl w:ilvl="2" w:tplc="36E07D5C" w:tentative="1">
      <w:start w:val="1"/>
      <w:numFmt w:val="lowerRoman"/>
      <w:lvlText w:val="%3."/>
      <w:lvlJc w:val="right"/>
      <w:pPr>
        <w:tabs>
          <w:tab w:val="num" w:pos="1260"/>
        </w:tabs>
        <w:ind w:left="1260" w:hanging="420"/>
      </w:pPr>
    </w:lvl>
    <w:lvl w:ilvl="3" w:tplc="D7AA1730" w:tentative="1">
      <w:start w:val="1"/>
      <w:numFmt w:val="decimal"/>
      <w:lvlText w:val="%4."/>
      <w:lvlJc w:val="left"/>
      <w:pPr>
        <w:tabs>
          <w:tab w:val="num" w:pos="1680"/>
        </w:tabs>
        <w:ind w:left="1680" w:hanging="420"/>
      </w:pPr>
    </w:lvl>
    <w:lvl w:ilvl="4" w:tplc="FCF26BA8" w:tentative="1">
      <w:start w:val="1"/>
      <w:numFmt w:val="lowerLetter"/>
      <w:lvlText w:val="%5)"/>
      <w:lvlJc w:val="left"/>
      <w:pPr>
        <w:tabs>
          <w:tab w:val="num" w:pos="2100"/>
        </w:tabs>
        <w:ind w:left="2100" w:hanging="420"/>
      </w:pPr>
    </w:lvl>
    <w:lvl w:ilvl="5" w:tplc="A4BC5BC2" w:tentative="1">
      <w:start w:val="1"/>
      <w:numFmt w:val="lowerRoman"/>
      <w:lvlText w:val="%6."/>
      <w:lvlJc w:val="right"/>
      <w:pPr>
        <w:tabs>
          <w:tab w:val="num" w:pos="2520"/>
        </w:tabs>
        <w:ind w:left="2520" w:hanging="420"/>
      </w:pPr>
    </w:lvl>
    <w:lvl w:ilvl="6" w:tplc="81728716" w:tentative="1">
      <w:start w:val="1"/>
      <w:numFmt w:val="decimal"/>
      <w:lvlText w:val="%7."/>
      <w:lvlJc w:val="left"/>
      <w:pPr>
        <w:tabs>
          <w:tab w:val="num" w:pos="2940"/>
        </w:tabs>
        <w:ind w:left="2940" w:hanging="420"/>
      </w:pPr>
    </w:lvl>
    <w:lvl w:ilvl="7" w:tplc="BD2615E4" w:tentative="1">
      <w:start w:val="1"/>
      <w:numFmt w:val="lowerLetter"/>
      <w:lvlText w:val="%8)"/>
      <w:lvlJc w:val="left"/>
      <w:pPr>
        <w:tabs>
          <w:tab w:val="num" w:pos="3360"/>
        </w:tabs>
        <w:ind w:left="3360" w:hanging="420"/>
      </w:pPr>
    </w:lvl>
    <w:lvl w:ilvl="8" w:tplc="2A22D8A6" w:tentative="1">
      <w:start w:val="1"/>
      <w:numFmt w:val="lowerRoman"/>
      <w:lvlText w:val="%9."/>
      <w:lvlJc w:val="right"/>
      <w:pPr>
        <w:tabs>
          <w:tab w:val="num" w:pos="3780"/>
        </w:tabs>
        <w:ind w:left="3780" w:hanging="420"/>
      </w:pPr>
    </w:lvl>
  </w:abstractNum>
  <w:abstractNum w:abstractNumId="7" w15:restartNumberingAfterBreak="0">
    <w:nsid w:val="207C7237"/>
    <w:multiLevelType w:val="hybridMultilevel"/>
    <w:tmpl w:val="01A0CA1E"/>
    <w:lvl w:ilvl="0" w:tplc="DDA80348">
      <w:start w:val="1"/>
      <w:numFmt w:val="decimal"/>
      <w:lvlText w:val="%1."/>
      <w:lvlJc w:val="left"/>
      <w:pPr>
        <w:tabs>
          <w:tab w:val="num" w:pos="360"/>
        </w:tabs>
        <w:ind w:left="360" w:hanging="360"/>
      </w:pPr>
      <w:rPr>
        <w:rFonts w:hint="default"/>
      </w:rPr>
    </w:lvl>
    <w:lvl w:ilvl="1" w:tplc="1B282DA6" w:tentative="1">
      <w:start w:val="1"/>
      <w:numFmt w:val="lowerLetter"/>
      <w:lvlText w:val="%2)"/>
      <w:lvlJc w:val="left"/>
      <w:pPr>
        <w:tabs>
          <w:tab w:val="num" w:pos="840"/>
        </w:tabs>
        <w:ind w:left="840" w:hanging="420"/>
      </w:pPr>
    </w:lvl>
    <w:lvl w:ilvl="2" w:tplc="8DC8C38E" w:tentative="1">
      <w:start w:val="1"/>
      <w:numFmt w:val="lowerRoman"/>
      <w:lvlText w:val="%3."/>
      <w:lvlJc w:val="right"/>
      <w:pPr>
        <w:tabs>
          <w:tab w:val="num" w:pos="1260"/>
        </w:tabs>
        <w:ind w:left="1260" w:hanging="420"/>
      </w:pPr>
    </w:lvl>
    <w:lvl w:ilvl="3" w:tplc="9CD63F30" w:tentative="1">
      <w:start w:val="1"/>
      <w:numFmt w:val="decimal"/>
      <w:lvlText w:val="%4."/>
      <w:lvlJc w:val="left"/>
      <w:pPr>
        <w:tabs>
          <w:tab w:val="num" w:pos="1680"/>
        </w:tabs>
        <w:ind w:left="1680" w:hanging="420"/>
      </w:pPr>
    </w:lvl>
    <w:lvl w:ilvl="4" w:tplc="A89A9E9A" w:tentative="1">
      <w:start w:val="1"/>
      <w:numFmt w:val="lowerLetter"/>
      <w:lvlText w:val="%5)"/>
      <w:lvlJc w:val="left"/>
      <w:pPr>
        <w:tabs>
          <w:tab w:val="num" w:pos="2100"/>
        </w:tabs>
        <w:ind w:left="2100" w:hanging="420"/>
      </w:pPr>
    </w:lvl>
    <w:lvl w:ilvl="5" w:tplc="259409DC" w:tentative="1">
      <w:start w:val="1"/>
      <w:numFmt w:val="lowerRoman"/>
      <w:lvlText w:val="%6."/>
      <w:lvlJc w:val="right"/>
      <w:pPr>
        <w:tabs>
          <w:tab w:val="num" w:pos="2520"/>
        </w:tabs>
        <w:ind w:left="2520" w:hanging="420"/>
      </w:pPr>
    </w:lvl>
    <w:lvl w:ilvl="6" w:tplc="B9C41E52" w:tentative="1">
      <w:start w:val="1"/>
      <w:numFmt w:val="decimal"/>
      <w:lvlText w:val="%7."/>
      <w:lvlJc w:val="left"/>
      <w:pPr>
        <w:tabs>
          <w:tab w:val="num" w:pos="2940"/>
        </w:tabs>
        <w:ind w:left="2940" w:hanging="420"/>
      </w:pPr>
    </w:lvl>
    <w:lvl w:ilvl="7" w:tplc="AF8E520E" w:tentative="1">
      <w:start w:val="1"/>
      <w:numFmt w:val="lowerLetter"/>
      <w:lvlText w:val="%8)"/>
      <w:lvlJc w:val="left"/>
      <w:pPr>
        <w:tabs>
          <w:tab w:val="num" w:pos="3360"/>
        </w:tabs>
        <w:ind w:left="3360" w:hanging="420"/>
      </w:pPr>
    </w:lvl>
    <w:lvl w:ilvl="8" w:tplc="47CA9F9A" w:tentative="1">
      <w:start w:val="1"/>
      <w:numFmt w:val="lowerRoman"/>
      <w:lvlText w:val="%9."/>
      <w:lvlJc w:val="right"/>
      <w:pPr>
        <w:tabs>
          <w:tab w:val="num" w:pos="3780"/>
        </w:tabs>
        <w:ind w:left="3780" w:hanging="420"/>
      </w:pPr>
    </w:lvl>
  </w:abstractNum>
  <w:abstractNum w:abstractNumId="8" w15:restartNumberingAfterBreak="0">
    <w:nsid w:val="20DD7959"/>
    <w:multiLevelType w:val="multilevel"/>
    <w:tmpl w:val="07D605E0"/>
    <w:lvl w:ilvl="0">
      <w:start w:val="12"/>
      <w:numFmt w:val="decimal"/>
      <w:lvlText w:val="%1"/>
      <w:lvlJc w:val="left"/>
      <w:pPr>
        <w:ind w:left="789" w:hanging="629"/>
      </w:pPr>
      <w:rPr>
        <w:rFonts w:hint="default"/>
        <w:lang w:val="zh-CN" w:eastAsia="zh-CN" w:bidi="zh-CN"/>
      </w:rPr>
    </w:lvl>
    <w:lvl w:ilvl="1">
      <w:start w:val="1"/>
      <w:numFmt w:val="decimal"/>
      <w:lvlText w:val="%1.%2"/>
      <w:lvlJc w:val="left"/>
      <w:pPr>
        <w:ind w:left="789" w:hanging="629"/>
      </w:pPr>
      <w:rPr>
        <w:rFonts w:ascii="Times New Roman" w:eastAsia="Times New Roman" w:hAnsi="Times New Roman" w:cs="Times New Roman" w:hint="default"/>
        <w:b/>
        <w:bCs/>
        <w:spacing w:val="-4"/>
        <w:w w:val="100"/>
        <w:sz w:val="28"/>
        <w:szCs w:val="28"/>
        <w:lang w:val="zh-CN" w:eastAsia="zh-CN" w:bidi="zh-CN"/>
      </w:rPr>
    </w:lvl>
    <w:lvl w:ilvl="2">
      <w:start w:val="1"/>
      <w:numFmt w:val="decimal"/>
      <w:lvlText w:val="（%3）"/>
      <w:lvlJc w:val="left"/>
      <w:pPr>
        <w:ind w:left="160" w:hanging="707"/>
      </w:pPr>
      <w:rPr>
        <w:rFonts w:ascii="仿宋_GB2312" w:eastAsia="仿宋_GB2312" w:hAnsi="仿宋_GB2312" w:cs="仿宋_GB2312" w:hint="default"/>
        <w:spacing w:val="0"/>
        <w:w w:val="100"/>
        <w:sz w:val="26"/>
        <w:szCs w:val="26"/>
        <w:lang w:val="zh-CN" w:eastAsia="zh-CN" w:bidi="zh-CN"/>
      </w:rPr>
    </w:lvl>
    <w:lvl w:ilvl="3">
      <w:numFmt w:val="bullet"/>
      <w:lvlText w:val="•"/>
      <w:lvlJc w:val="left"/>
      <w:pPr>
        <w:ind w:left="2572" w:hanging="707"/>
      </w:pPr>
      <w:rPr>
        <w:rFonts w:hint="default"/>
        <w:lang w:val="zh-CN" w:eastAsia="zh-CN" w:bidi="zh-CN"/>
      </w:rPr>
    </w:lvl>
    <w:lvl w:ilvl="4">
      <w:numFmt w:val="bullet"/>
      <w:lvlText w:val="•"/>
      <w:lvlJc w:val="left"/>
      <w:pPr>
        <w:ind w:left="3468" w:hanging="707"/>
      </w:pPr>
      <w:rPr>
        <w:rFonts w:hint="default"/>
        <w:lang w:val="zh-CN" w:eastAsia="zh-CN" w:bidi="zh-CN"/>
      </w:rPr>
    </w:lvl>
    <w:lvl w:ilvl="5">
      <w:numFmt w:val="bullet"/>
      <w:lvlText w:val="•"/>
      <w:lvlJc w:val="left"/>
      <w:pPr>
        <w:ind w:left="4365" w:hanging="707"/>
      </w:pPr>
      <w:rPr>
        <w:rFonts w:hint="default"/>
        <w:lang w:val="zh-CN" w:eastAsia="zh-CN" w:bidi="zh-CN"/>
      </w:rPr>
    </w:lvl>
    <w:lvl w:ilvl="6">
      <w:numFmt w:val="bullet"/>
      <w:lvlText w:val="•"/>
      <w:lvlJc w:val="left"/>
      <w:pPr>
        <w:ind w:left="5261" w:hanging="707"/>
      </w:pPr>
      <w:rPr>
        <w:rFonts w:hint="default"/>
        <w:lang w:val="zh-CN" w:eastAsia="zh-CN" w:bidi="zh-CN"/>
      </w:rPr>
    </w:lvl>
    <w:lvl w:ilvl="7">
      <w:numFmt w:val="bullet"/>
      <w:lvlText w:val="•"/>
      <w:lvlJc w:val="left"/>
      <w:pPr>
        <w:ind w:left="6157" w:hanging="707"/>
      </w:pPr>
      <w:rPr>
        <w:rFonts w:hint="default"/>
        <w:lang w:val="zh-CN" w:eastAsia="zh-CN" w:bidi="zh-CN"/>
      </w:rPr>
    </w:lvl>
    <w:lvl w:ilvl="8">
      <w:numFmt w:val="bullet"/>
      <w:lvlText w:val="•"/>
      <w:lvlJc w:val="left"/>
      <w:pPr>
        <w:ind w:left="7053" w:hanging="707"/>
      </w:pPr>
      <w:rPr>
        <w:rFonts w:hint="default"/>
        <w:lang w:val="zh-CN" w:eastAsia="zh-CN" w:bidi="zh-CN"/>
      </w:rPr>
    </w:lvl>
  </w:abstractNum>
  <w:abstractNum w:abstractNumId="9" w15:restartNumberingAfterBreak="0">
    <w:nsid w:val="21087A09"/>
    <w:multiLevelType w:val="multilevel"/>
    <w:tmpl w:val="C204B144"/>
    <w:lvl w:ilvl="0">
      <w:start w:val="4"/>
      <w:numFmt w:val="decimal"/>
      <w:lvlText w:val="%1"/>
      <w:lvlJc w:val="left"/>
      <w:pPr>
        <w:ind w:left="650" w:hanging="490"/>
      </w:pPr>
      <w:rPr>
        <w:rFonts w:hint="default"/>
        <w:lang w:val="zh-CN" w:eastAsia="zh-CN" w:bidi="zh-CN"/>
      </w:rPr>
    </w:lvl>
    <w:lvl w:ilvl="1">
      <w:start w:val="1"/>
      <w:numFmt w:val="decimal"/>
      <w:lvlText w:val="%1.%2"/>
      <w:lvlJc w:val="left"/>
      <w:pPr>
        <w:ind w:left="650" w:hanging="490"/>
      </w:pPr>
      <w:rPr>
        <w:rFonts w:ascii="Times New Roman" w:eastAsia="Times New Roman" w:hAnsi="Times New Roman" w:cs="Times New Roman" w:hint="default"/>
        <w:b/>
        <w:bCs/>
        <w:w w:val="100"/>
        <w:sz w:val="28"/>
        <w:szCs w:val="28"/>
        <w:lang w:val="zh-CN" w:eastAsia="zh-CN" w:bidi="zh-CN"/>
      </w:rPr>
    </w:lvl>
    <w:lvl w:ilvl="2">
      <w:start w:val="1"/>
      <w:numFmt w:val="decimal"/>
      <w:lvlText w:val="（%3）"/>
      <w:lvlJc w:val="left"/>
      <w:pPr>
        <w:ind w:left="1421" w:hanging="702"/>
      </w:pPr>
      <w:rPr>
        <w:rFonts w:ascii="仿宋_GB2312" w:eastAsia="仿宋_GB2312" w:hAnsi="仿宋_GB2312" w:cs="仿宋_GB2312" w:hint="default"/>
        <w:spacing w:val="-2"/>
        <w:w w:val="100"/>
        <w:sz w:val="26"/>
        <w:szCs w:val="26"/>
        <w:lang w:val="zh-CN" w:eastAsia="zh-CN" w:bidi="zh-CN"/>
      </w:rPr>
    </w:lvl>
    <w:lvl w:ilvl="3">
      <w:numFmt w:val="bullet"/>
      <w:lvlText w:val="•"/>
      <w:lvlJc w:val="left"/>
      <w:pPr>
        <w:ind w:left="3070" w:hanging="702"/>
      </w:pPr>
      <w:rPr>
        <w:rFonts w:hint="default"/>
        <w:lang w:val="zh-CN" w:eastAsia="zh-CN" w:bidi="zh-CN"/>
      </w:rPr>
    </w:lvl>
    <w:lvl w:ilvl="4">
      <w:numFmt w:val="bullet"/>
      <w:lvlText w:val="•"/>
      <w:lvlJc w:val="left"/>
      <w:pPr>
        <w:ind w:left="3895" w:hanging="702"/>
      </w:pPr>
      <w:rPr>
        <w:rFonts w:hint="default"/>
        <w:lang w:val="zh-CN" w:eastAsia="zh-CN" w:bidi="zh-CN"/>
      </w:rPr>
    </w:lvl>
    <w:lvl w:ilvl="5">
      <w:numFmt w:val="bullet"/>
      <w:lvlText w:val="•"/>
      <w:lvlJc w:val="left"/>
      <w:pPr>
        <w:ind w:left="4720" w:hanging="702"/>
      </w:pPr>
      <w:rPr>
        <w:rFonts w:hint="default"/>
        <w:lang w:val="zh-CN" w:eastAsia="zh-CN" w:bidi="zh-CN"/>
      </w:rPr>
    </w:lvl>
    <w:lvl w:ilvl="6">
      <w:numFmt w:val="bullet"/>
      <w:lvlText w:val="•"/>
      <w:lvlJc w:val="left"/>
      <w:pPr>
        <w:ind w:left="5545" w:hanging="702"/>
      </w:pPr>
      <w:rPr>
        <w:rFonts w:hint="default"/>
        <w:lang w:val="zh-CN" w:eastAsia="zh-CN" w:bidi="zh-CN"/>
      </w:rPr>
    </w:lvl>
    <w:lvl w:ilvl="7">
      <w:numFmt w:val="bullet"/>
      <w:lvlText w:val="•"/>
      <w:lvlJc w:val="left"/>
      <w:pPr>
        <w:ind w:left="6370" w:hanging="702"/>
      </w:pPr>
      <w:rPr>
        <w:rFonts w:hint="default"/>
        <w:lang w:val="zh-CN" w:eastAsia="zh-CN" w:bidi="zh-CN"/>
      </w:rPr>
    </w:lvl>
    <w:lvl w:ilvl="8">
      <w:numFmt w:val="bullet"/>
      <w:lvlText w:val="•"/>
      <w:lvlJc w:val="left"/>
      <w:pPr>
        <w:ind w:left="7196" w:hanging="702"/>
      </w:pPr>
      <w:rPr>
        <w:rFonts w:hint="default"/>
        <w:lang w:val="zh-CN" w:eastAsia="zh-CN" w:bidi="zh-CN"/>
      </w:rPr>
    </w:lvl>
  </w:abstractNum>
  <w:abstractNum w:abstractNumId="10" w15:restartNumberingAfterBreak="0">
    <w:nsid w:val="27261AEE"/>
    <w:multiLevelType w:val="hybridMultilevel"/>
    <w:tmpl w:val="ACCC79C0"/>
    <w:lvl w:ilvl="0" w:tplc="83ACE918">
      <w:start w:val="1"/>
      <w:numFmt w:val="bullet"/>
      <w:lvlText w:val=""/>
      <w:lvlPicBulletId w:val="0"/>
      <w:lvlJc w:val="left"/>
      <w:pPr>
        <w:tabs>
          <w:tab w:val="num" w:pos="420"/>
        </w:tabs>
        <w:ind w:left="420" w:firstLine="0"/>
      </w:pPr>
      <w:rPr>
        <w:rFonts w:ascii="Symbol" w:hAnsi="Symbol" w:hint="default"/>
      </w:rPr>
    </w:lvl>
    <w:lvl w:ilvl="1" w:tplc="F8300522" w:tentative="1">
      <w:start w:val="1"/>
      <w:numFmt w:val="bullet"/>
      <w:lvlText w:val=""/>
      <w:lvlJc w:val="left"/>
      <w:pPr>
        <w:tabs>
          <w:tab w:val="num" w:pos="840"/>
        </w:tabs>
        <w:ind w:left="840" w:firstLine="0"/>
      </w:pPr>
      <w:rPr>
        <w:rFonts w:ascii="Symbol" w:hAnsi="Symbol" w:hint="default"/>
      </w:rPr>
    </w:lvl>
    <w:lvl w:ilvl="2" w:tplc="37F28B6E" w:tentative="1">
      <w:start w:val="1"/>
      <w:numFmt w:val="bullet"/>
      <w:lvlText w:val=""/>
      <w:lvlJc w:val="left"/>
      <w:pPr>
        <w:tabs>
          <w:tab w:val="num" w:pos="1260"/>
        </w:tabs>
        <w:ind w:left="1260" w:firstLine="0"/>
      </w:pPr>
      <w:rPr>
        <w:rFonts w:ascii="Symbol" w:hAnsi="Symbol" w:hint="default"/>
      </w:rPr>
    </w:lvl>
    <w:lvl w:ilvl="3" w:tplc="99A4C5D2" w:tentative="1">
      <w:start w:val="1"/>
      <w:numFmt w:val="bullet"/>
      <w:lvlText w:val=""/>
      <w:lvlJc w:val="left"/>
      <w:pPr>
        <w:tabs>
          <w:tab w:val="num" w:pos="1680"/>
        </w:tabs>
        <w:ind w:left="1680" w:firstLine="0"/>
      </w:pPr>
      <w:rPr>
        <w:rFonts w:ascii="Symbol" w:hAnsi="Symbol" w:hint="default"/>
      </w:rPr>
    </w:lvl>
    <w:lvl w:ilvl="4" w:tplc="C532CC7C" w:tentative="1">
      <w:start w:val="1"/>
      <w:numFmt w:val="bullet"/>
      <w:lvlText w:val=""/>
      <w:lvlJc w:val="left"/>
      <w:pPr>
        <w:tabs>
          <w:tab w:val="num" w:pos="2100"/>
        </w:tabs>
        <w:ind w:left="2100" w:firstLine="0"/>
      </w:pPr>
      <w:rPr>
        <w:rFonts w:ascii="Symbol" w:hAnsi="Symbol" w:hint="default"/>
      </w:rPr>
    </w:lvl>
    <w:lvl w:ilvl="5" w:tplc="2662C03C" w:tentative="1">
      <w:start w:val="1"/>
      <w:numFmt w:val="bullet"/>
      <w:lvlText w:val=""/>
      <w:lvlJc w:val="left"/>
      <w:pPr>
        <w:tabs>
          <w:tab w:val="num" w:pos="2520"/>
        </w:tabs>
        <w:ind w:left="2520" w:firstLine="0"/>
      </w:pPr>
      <w:rPr>
        <w:rFonts w:ascii="Symbol" w:hAnsi="Symbol" w:hint="default"/>
      </w:rPr>
    </w:lvl>
    <w:lvl w:ilvl="6" w:tplc="53C665D2" w:tentative="1">
      <w:start w:val="1"/>
      <w:numFmt w:val="bullet"/>
      <w:lvlText w:val=""/>
      <w:lvlJc w:val="left"/>
      <w:pPr>
        <w:tabs>
          <w:tab w:val="num" w:pos="2940"/>
        </w:tabs>
        <w:ind w:left="2940" w:firstLine="0"/>
      </w:pPr>
      <w:rPr>
        <w:rFonts w:ascii="Symbol" w:hAnsi="Symbol" w:hint="default"/>
      </w:rPr>
    </w:lvl>
    <w:lvl w:ilvl="7" w:tplc="AB069C54" w:tentative="1">
      <w:start w:val="1"/>
      <w:numFmt w:val="bullet"/>
      <w:lvlText w:val=""/>
      <w:lvlJc w:val="left"/>
      <w:pPr>
        <w:tabs>
          <w:tab w:val="num" w:pos="3360"/>
        </w:tabs>
        <w:ind w:left="3360" w:firstLine="0"/>
      </w:pPr>
      <w:rPr>
        <w:rFonts w:ascii="Symbol" w:hAnsi="Symbol" w:hint="default"/>
      </w:rPr>
    </w:lvl>
    <w:lvl w:ilvl="8" w:tplc="ADDC4854" w:tentative="1">
      <w:start w:val="1"/>
      <w:numFmt w:val="bullet"/>
      <w:lvlText w:val=""/>
      <w:lvlJc w:val="left"/>
      <w:pPr>
        <w:tabs>
          <w:tab w:val="num" w:pos="3780"/>
        </w:tabs>
        <w:ind w:left="3780" w:firstLine="0"/>
      </w:pPr>
      <w:rPr>
        <w:rFonts w:ascii="Symbol" w:hAnsi="Symbol" w:hint="default"/>
      </w:rPr>
    </w:lvl>
  </w:abstractNum>
  <w:abstractNum w:abstractNumId="11" w15:restartNumberingAfterBreak="0">
    <w:nsid w:val="2C450D88"/>
    <w:multiLevelType w:val="multilevel"/>
    <w:tmpl w:val="2C450D88"/>
    <w:lvl w:ilvl="0">
      <w:start w:val="8"/>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32EC4CFF"/>
    <w:multiLevelType w:val="multilevel"/>
    <w:tmpl w:val="0D00275C"/>
    <w:lvl w:ilvl="0">
      <w:start w:val="7"/>
      <w:numFmt w:val="decimal"/>
      <w:lvlText w:val="%1"/>
      <w:lvlJc w:val="left"/>
      <w:pPr>
        <w:ind w:left="650" w:hanging="490"/>
      </w:pPr>
      <w:rPr>
        <w:rFonts w:hint="default"/>
        <w:lang w:val="zh-CN" w:eastAsia="zh-CN" w:bidi="zh-CN"/>
      </w:rPr>
    </w:lvl>
    <w:lvl w:ilvl="1">
      <w:start w:val="1"/>
      <w:numFmt w:val="decimal"/>
      <w:lvlText w:val="%1.%2"/>
      <w:lvlJc w:val="left"/>
      <w:pPr>
        <w:ind w:left="650" w:hanging="490"/>
      </w:pPr>
      <w:rPr>
        <w:rFonts w:ascii="Times New Roman" w:eastAsia="Times New Roman" w:hAnsi="Times New Roman" w:cs="Times New Roman" w:hint="default"/>
        <w:b/>
        <w:bCs/>
        <w:w w:val="100"/>
        <w:sz w:val="28"/>
        <w:szCs w:val="28"/>
        <w:lang w:val="zh-CN" w:eastAsia="zh-CN" w:bidi="zh-CN"/>
      </w:rPr>
    </w:lvl>
    <w:lvl w:ilvl="2">
      <w:numFmt w:val="bullet"/>
      <w:lvlText w:val=""/>
      <w:lvlJc w:val="left"/>
      <w:pPr>
        <w:ind w:left="1139" w:hanging="420"/>
      </w:pPr>
      <w:rPr>
        <w:rFonts w:ascii="Wingdings" w:eastAsia="Wingdings" w:hAnsi="Wingdings" w:cs="Wingdings" w:hint="default"/>
        <w:w w:val="100"/>
        <w:sz w:val="16"/>
        <w:szCs w:val="16"/>
        <w:lang w:val="zh-CN" w:eastAsia="zh-CN" w:bidi="zh-CN"/>
      </w:rPr>
    </w:lvl>
    <w:lvl w:ilvl="3">
      <w:numFmt w:val="bullet"/>
      <w:lvlText w:val="•"/>
      <w:lvlJc w:val="left"/>
      <w:pPr>
        <w:ind w:left="2852" w:hanging="420"/>
      </w:pPr>
      <w:rPr>
        <w:rFonts w:hint="default"/>
        <w:lang w:val="zh-CN" w:eastAsia="zh-CN" w:bidi="zh-CN"/>
      </w:rPr>
    </w:lvl>
    <w:lvl w:ilvl="4">
      <w:numFmt w:val="bullet"/>
      <w:lvlText w:val="•"/>
      <w:lvlJc w:val="left"/>
      <w:pPr>
        <w:ind w:left="3708" w:hanging="420"/>
      </w:pPr>
      <w:rPr>
        <w:rFonts w:hint="default"/>
        <w:lang w:val="zh-CN" w:eastAsia="zh-CN" w:bidi="zh-CN"/>
      </w:rPr>
    </w:lvl>
    <w:lvl w:ilvl="5">
      <w:numFmt w:val="bullet"/>
      <w:lvlText w:val="•"/>
      <w:lvlJc w:val="left"/>
      <w:pPr>
        <w:ind w:left="4565" w:hanging="420"/>
      </w:pPr>
      <w:rPr>
        <w:rFonts w:hint="default"/>
        <w:lang w:val="zh-CN" w:eastAsia="zh-CN" w:bidi="zh-CN"/>
      </w:rPr>
    </w:lvl>
    <w:lvl w:ilvl="6">
      <w:numFmt w:val="bullet"/>
      <w:lvlText w:val="•"/>
      <w:lvlJc w:val="left"/>
      <w:pPr>
        <w:ind w:left="5421" w:hanging="420"/>
      </w:pPr>
      <w:rPr>
        <w:rFonts w:hint="default"/>
        <w:lang w:val="zh-CN" w:eastAsia="zh-CN" w:bidi="zh-CN"/>
      </w:rPr>
    </w:lvl>
    <w:lvl w:ilvl="7">
      <w:numFmt w:val="bullet"/>
      <w:lvlText w:val="•"/>
      <w:lvlJc w:val="left"/>
      <w:pPr>
        <w:ind w:left="6277" w:hanging="420"/>
      </w:pPr>
      <w:rPr>
        <w:rFonts w:hint="default"/>
        <w:lang w:val="zh-CN" w:eastAsia="zh-CN" w:bidi="zh-CN"/>
      </w:rPr>
    </w:lvl>
    <w:lvl w:ilvl="8">
      <w:numFmt w:val="bullet"/>
      <w:lvlText w:val="•"/>
      <w:lvlJc w:val="left"/>
      <w:pPr>
        <w:ind w:left="7133" w:hanging="420"/>
      </w:pPr>
      <w:rPr>
        <w:rFonts w:hint="default"/>
        <w:lang w:val="zh-CN" w:eastAsia="zh-CN" w:bidi="zh-CN"/>
      </w:rPr>
    </w:lvl>
  </w:abstractNum>
  <w:abstractNum w:abstractNumId="13" w15:restartNumberingAfterBreak="0">
    <w:nsid w:val="39CD402B"/>
    <w:multiLevelType w:val="hybridMultilevel"/>
    <w:tmpl w:val="DEC4C96A"/>
    <w:lvl w:ilvl="0" w:tplc="7376E1A6">
      <w:start w:val="1"/>
      <w:numFmt w:val="japaneseCounting"/>
      <w:lvlText w:val="%1、"/>
      <w:lvlJc w:val="left"/>
      <w:pPr>
        <w:tabs>
          <w:tab w:val="num" w:pos="720"/>
        </w:tabs>
        <w:ind w:left="720" w:hanging="720"/>
      </w:pPr>
      <w:rPr>
        <w:rFonts w:hint="default"/>
      </w:rPr>
    </w:lvl>
    <w:lvl w:ilvl="1" w:tplc="5CC8F77A" w:tentative="1">
      <w:start w:val="1"/>
      <w:numFmt w:val="lowerLetter"/>
      <w:lvlText w:val="%2)"/>
      <w:lvlJc w:val="left"/>
      <w:pPr>
        <w:tabs>
          <w:tab w:val="num" w:pos="840"/>
        </w:tabs>
        <w:ind w:left="840" w:hanging="420"/>
      </w:pPr>
    </w:lvl>
    <w:lvl w:ilvl="2" w:tplc="996407FE" w:tentative="1">
      <w:start w:val="1"/>
      <w:numFmt w:val="lowerRoman"/>
      <w:lvlText w:val="%3."/>
      <w:lvlJc w:val="right"/>
      <w:pPr>
        <w:tabs>
          <w:tab w:val="num" w:pos="1260"/>
        </w:tabs>
        <w:ind w:left="1260" w:hanging="420"/>
      </w:pPr>
    </w:lvl>
    <w:lvl w:ilvl="3" w:tplc="DD9C6320" w:tentative="1">
      <w:start w:val="1"/>
      <w:numFmt w:val="decimal"/>
      <w:lvlText w:val="%4."/>
      <w:lvlJc w:val="left"/>
      <w:pPr>
        <w:tabs>
          <w:tab w:val="num" w:pos="1680"/>
        </w:tabs>
        <w:ind w:left="1680" w:hanging="420"/>
      </w:pPr>
    </w:lvl>
    <w:lvl w:ilvl="4" w:tplc="62280E7A" w:tentative="1">
      <w:start w:val="1"/>
      <w:numFmt w:val="lowerLetter"/>
      <w:lvlText w:val="%5)"/>
      <w:lvlJc w:val="left"/>
      <w:pPr>
        <w:tabs>
          <w:tab w:val="num" w:pos="2100"/>
        </w:tabs>
        <w:ind w:left="2100" w:hanging="420"/>
      </w:pPr>
    </w:lvl>
    <w:lvl w:ilvl="5" w:tplc="9D9C0ED0" w:tentative="1">
      <w:start w:val="1"/>
      <w:numFmt w:val="lowerRoman"/>
      <w:lvlText w:val="%6."/>
      <w:lvlJc w:val="right"/>
      <w:pPr>
        <w:tabs>
          <w:tab w:val="num" w:pos="2520"/>
        </w:tabs>
        <w:ind w:left="2520" w:hanging="420"/>
      </w:pPr>
    </w:lvl>
    <w:lvl w:ilvl="6" w:tplc="9216DE54" w:tentative="1">
      <w:start w:val="1"/>
      <w:numFmt w:val="decimal"/>
      <w:lvlText w:val="%7."/>
      <w:lvlJc w:val="left"/>
      <w:pPr>
        <w:tabs>
          <w:tab w:val="num" w:pos="2940"/>
        </w:tabs>
        <w:ind w:left="2940" w:hanging="420"/>
      </w:pPr>
    </w:lvl>
    <w:lvl w:ilvl="7" w:tplc="CE6C8F68" w:tentative="1">
      <w:start w:val="1"/>
      <w:numFmt w:val="lowerLetter"/>
      <w:lvlText w:val="%8)"/>
      <w:lvlJc w:val="left"/>
      <w:pPr>
        <w:tabs>
          <w:tab w:val="num" w:pos="3360"/>
        </w:tabs>
        <w:ind w:left="3360" w:hanging="420"/>
      </w:pPr>
    </w:lvl>
    <w:lvl w:ilvl="8" w:tplc="0F824038" w:tentative="1">
      <w:start w:val="1"/>
      <w:numFmt w:val="lowerRoman"/>
      <w:lvlText w:val="%9."/>
      <w:lvlJc w:val="right"/>
      <w:pPr>
        <w:tabs>
          <w:tab w:val="num" w:pos="3780"/>
        </w:tabs>
        <w:ind w:left="3780" w:hanging="420"/>
      </w:pPr>
    </w:lvl>
  </w:abstractNum>
  <w:abstractNum w:abstractNumId="14" w15:restartNumberingAfterBreak="0">
    <w:nsid w:val="451A48DC"/>
    <w:multiLevelType w:val="hybridMultilevel"/>
    <w:tmpl w:val="19C029DA"/>
    <w:lvl w:ilvl="0" w:tplc="8134516C">
      <w:start w:val="1"/>
      <w:numFmt w:val="japaneseCounting"/>
      <w:lvlText w:val="（%1）"/>
      <w:lvlJc w:val="left"/>
      <w:pPr>
        <w:tabs>
          <w:tab w:val="num" w:pos="1140"/>
        </w:tabs>
        <w:ind w:left="1140" w:hanging="720"/>
      </w:pPr>
      <w:rPr>
        <w:rFonts w:hint="default"/>
      </w:rPr>
    </w:lvl>
    <w:lvl w:ilvl="1" w:tplc="22161E4C" w:tentative="1">
      <w:start w:val="1"/>
      <w:numFmt w:val="lowerLetter"/>
      <w:lvlText w:val="%2)"/>
      <w:lvlJc w:val="left"/>
      <w:pPr>
        <w:tabs>
          <w:tab w:val="num" w:pos="1260"/>
        </w:tabs>
        <w:ind w:left="1260" w:hanging="420"/>
      </w:pPr>
    </w:lvl>
    <w:lvl w:ilvl="2" w:tplc="C5C6D8DC" w:tentative="1">
      <w:start w:val="1"/>
      <w:numFmt w:val="lowerRoman"/>
      <w:lvlText w:val="%3."/>
      <w:lvlJc w:val="right"/>
      <w:pPr>
        <w:tabs>
          <w:tab w:val="num" w:pos="1680"/>
        </w:tabs>
        <w:ind w:left="1680" w:hanging="420"/>
      </w:pPr>
    </w:lvl>
    <w:lvl w:ilvl="3" w:tplc="FA1C981E" w:tentative="1">
      <w:start w:val="1"/>
      <w:numFmt w:val="decimal"/>
      <w:lvlText w:val="%4."/>
      <w:lvlJc w:val="left"/>
      <w:pPr>
        <w:tabs>
          <w:tab w:val="num" w:pos="2100"/>
        </w:tabs>
        <w:ind w:left="2100" w:hanging="420"/>
      </w:pPr>
    </w:lvl>
    <w:lvl w:ilvl="4" w:tplc="2F52A36A" w:tentative="1">
      <w:start w:val="1"/>
      <w:numFmt w:val="lowerLetter"/>
      <w:lvlText w:val="%5)"/>
      <w:lvlJc w:val="left"/>
      <w:pPr>
        <w:tabs>
          <w:tab w:val="num" w:pos="2520"/>
        </w:tabs>
        <w:ind w:left="2520" w:hanging="420"/>
      </w:pPr>
    </w:lvl>
    <w:lvl w:ilvl="5" w:tplc="C3F8A1D6" w:tentative="1">
      <w:start w:val="1"/>
      <w:numFmt w:val="lowerRoman"/>
      <w:lvlText w:val="%6."/>
      <w:lvlJc w:val="right"/>
      <w:pPr>
        <w:tabs>
          <w:tab w:val="num" w:pos="2940"/>
        </w:tabs>
        <w:ind w:left="2940" w:hanging="420"/>
      </w:pPr>
    </w:lvl>
    <w:lvl w:ilvl="6" w:tplc="23F24526" w:tentative="1">
      <w:start w:val="1"/>
      <w:numFmt w:val="decimal"/>
      <w:lvlText w:val="%7."/>
      <w:lvlJc w:val="left"/>
      <w:pPr>
        <w:tabs>
          <w:tab w:val="num" w:pos="3360"/>
        </w:tabs>
        <w:ind w:left="3360" w:hanging="420"/>
      </w:pPr>
    </w:lvl>
    <w:lvl w:ilvl="7" w:tplc="15361218" w:tentative="1">
      <w:start w:val="1"/>
      <w:numFmt w:val="lowerLetter"/>
      <w:lvlText w:val="%8)"/>
      <w:lvlJc w:val="left"/>
      <w:pPr>
        <w:tabs>
          <w:tab w:val="num" w:pos="3780"/>
        </w:tabs>
        <w:ind w:left="3780" w:hanging="420"/>
      </w:pPr>
    </w:lvl>
    <w:lvl w:ilvl="8" w:tplc="A84AD30C" w:tentative="1">
      <w:start w:val="1"/>
      <w:numFmt w:val="lowerRoman"/>
      <w:lvlText w:val="%9."/>
      <w:lvlJc w:val="right"/>
      <w:pPr>
        <w:tabs>
          <w:tab w:val="num" w:pos="4200"/>
        </w:tabs>
        <w:ind w:left="4200" w:hanging="420"/>
      </w:pPr>
    </w:lvl>
  </w:abstractNum>
  <w:abstractNum w:abstractNumId="15" w15:restartNumberingAfterBreak="0">
    <w:nsid w:val="622024A6"/>
    <w:multiLevelType w:val="multilevel"/>
    <w:tmpl w:val="79D2119C"/>
    <w:lvl w:ilvl="0">
      <w:start w:val="5"/>
      <w:numFmt w:val="decimal"/>
      <w:lvlText w:val="%1"/>
      <w:lvlJc w:val="left"/>
      <w:pPr>
        <w:ind w:left="650" w:hanging="490"/>
      </w:pPr>
      <w:rPr>
        <w:rFonts w:hint="default"/>
        <w:lang w:val="zh-CN" w:eastAsia="zh-CN" w:bidi="zh-CN"/>
      </w:rPr>
    </w:lvl>
    <w:lvl w:ilvl="1">
      <w:start w:val="1"/>
      <w:numFmt w:val="decimal"/>
      <w:lvlText w:val="%1.%2"/>
      <w:lvlJc w:val="left"/>
      <w:pPr>
        <w:ind w:left="650" w:hanging="490"/>
      </w:pPr>
      <w:rPr>
        <w:rFonts w:ascii="Times New Roman" w:eastAsia="Times New Roman" w:hAnsi="Times New Roman" w:cs="Times New Roman" w:hint="default"/>
        <w:b/>
        <w:bCs/>
        <w:w w:val="100"/>
        <w:sz w:val="28"/>
        <w:szCs w:val="28"/>
        <w:lang w:val="zh-CN" w:eastAsia="zh-CN" w:bidi="zh-CN"/>
      </w:rPr>
    </w:lvl>
    <w:lvl w:ilvl="2">
      <w:start w:val="1"/>
      <w:numFmt w:val="decimal"/>
      <w:lvlText w:val="%1.%2.%3"/>
      <w:lvlJc w:val="left"/>
      <w:pPr>
        <w:ind w:left="791" w:hanging="632"/>
      </w:pPr>
      <w:rPr>
        <w:rFonts w:ascii="Times New Roman" w:eastAsia="Times New Roman" w:hAnsi="Times New Roman" w:cs="Times New Roman" w:hint="default"/>
        <w:b/>
        <w:bCs/>
        <w:w w:val="100"/>
        <w:sz w:val="28"/>
        <w:szCs w:val="28"/>
        <w:lang w:val="zh-CN" w:eastAsia="zh-CN" w:bidi="zh-CN"/>
      </w:rPr>
    </w:lvl>
    <w:lvl w:ilvl="3">
      <w:numFmt w:val="bullet"/>
      <w:lvlText w:val=""/>
      <w:lvlJc w:val="left"/>
      <w:pPr>
        <w:ind w:left="1139" w:hanging="420"/>
      </w:pPr>
      <w:rPr>
        <w:rFonts w:ascii="Wingdings" w:eastAsia="Wingdings" w:hAnsi="Wingdings" w:cs="Wingdings" w:hint="default"/>
        <w:w w:val="100"/>
        <w:sz w:val="16"/>
        <w:szCs w:val="16"/>
        <w:lang w:val="zh-CN" w:eastAsia="zh-CN" w:bidi="zh-CN"/>
      </w:rPr>
    </w:lvl>
    <w:lvl w:ilvl="4">
      <w:numFmt w:val="bullet"/>
      <w:lvlText w:val="•"/>
      <w:lvlJc w:val="left"/>
      <w:pPr>
        <w:ind w:left="3066" w:hanging="420"/>
      </w:pPr>
      <w:rPr>
        <w:rFonts w:hint="default"/>
        <w:lang w:val="zh-CN" w:eastAsia="zh-CN" w:bidi="zh-CN"/>
      </w:rPr>
    </w:lvl>
    <w:lvl w:ilvl="5">
      <w:numFmt w:val="bullet"/>
      <w:lvlText w:val="•"/>
      <w:lvlJc w:val="left"/>
      <w:pPr>
        <w:ind w:left="4029" w:hanging="420"/>
      </w:pPr>
      <w:rPr>
        <w:rFonts w:hint="default"/>
        <w:lang w:val="zh-CN" w:eastAsia="zh-CN" w:bidi="zh-CN"/>
      </w:rPr>
    </w:lvl>
    <w:lvl w:ilvl="6">
      <w:numFmt w:val="bullet"/>
      <w:lvlText w:val="•"/>
      <w:lvlJc w:val="left"/>
      <w:pPr>
        <w:ind w:left="4993" w:hanging="420"/>
      </w:pPr>
      <w:rPr>
        <w:rFonts w:hint="default"/>
        <w:lang w:val="zh-CN" w:eastAsia="zh-CN" w:bidi="zh-CN"/>
      </w:rPr>
    </w:lvl>
    <w:lvl w:ilvl="7">
      <w:numFmt w:val="bullet"/>
      <w:lvlText w:val="•"/>
      <w:lvlJc w:val="left"/>
      <w:pPr>
        <w:ind w:left="5956" w:hanging="420"/>
      </w:pPr>
      <w:rPr>
        <w:rFonts w:hint="default"/>
        <w:lang w:val="zh-CN" w:eastAsia="zh-CN" w:bidi="zh-CN"/>
      </w:rPr>
    </w:lvl>
    <w:lvl w:ilvl="8">
      <w:numFmt w:val="bullet"/>
      <w:lvlText w:val="•"/>
      <w:lvlJc w:val="left"/>
      <w:pPr>
        <w:ind w:left="6919" w:hanging="420"/>
      </w:pPr>
      <w:rPr>
        <w:rFonts w:hint="default"/>
        <w:lang w:val="zh-CN" w:eastAsia="zh-CN" w:bidi="zh-CN"/>
      </w:rPr>
    </w:lvl>
  </w:abstractNum>
  <w:abstractNum w:abstractNumId="16" w15:restartNumberingAfterBreak="0">
    <w:nsid w:val="671A2E92"/>
    <w:multiLevelType w:val="multilevel"/>
    <w:tmpl w:val="E2E8A00A"/>
    <w:lvl w:ilvl="0">
      <w:start w:val="6"/>
      <w:numFmt w:val="decimal"/>
      <w:lvlText w:val="%1"/>
      <w:lvlJc w:val="left"/>
      <w:pPr>
        <w:ind w:left="650" w:hanging="490"/>
      </w:pPr>
      <w:rPr>
        <w:rFonts w:hint="default"/>
        <w:lang w:val="zh-CN" w:eastAsia="zh-CN" w:bidi="zh-CN"/>
      </w:rPr>
    </w:lvl>
    <w:lvl w:ilvl="1">
      <w:start w:val="1"/>
      <w:numFmt w:val="decimal"/>
      <w:lvlText w:val="%1.%2"/>
      <w:lvlJc w:val="left"/>
      <w:pPr>
        <w:ind w:left="650" w:hanging="490"/>
      </w:pPr>
      <w:rPr>
        <w:rFonts w:ascii="Times New Roman" w:eastAsia="Times New Roman" w:hAnsi="Times New Roman" w:cs="Times New Roman" w:hint="default"/>
        <w:b/>
        <w:bCs/>
        <w:w w:val="100"/>
        <w:sz w:val="28"/>
        <w:szCs w:val="28"/>
        <w:lang w:val="zh-CN" w:eastAsia="zh-CN" w:bidi="zh-CN"/>
      </w:rPr>
    </w:lvl>
    <w:lvl w:ilvl="2">
      <w:numFmt w:val="bullet"/>
      <w:lvlText w:val=""/>
      <w:lvlJc w:val="left"/>
      <w:pPr>
        <w:ind w:left="1139" w:hanging="420"/>
      </w:pPr>
      <w:rPr>
        <w:rFonts w:ascii="Wingdings" w:eastAsia="Wingdings" w:hAnsi="Wingdings" w:cs="Wingdings" w:hint="default"/>
        <w:w w:val="100"/>
        <w:sz w:val="16"/>
        <w:szCs w:val="16"/>
        <w:lang w:val="zh-CN" w:eastAsia="zh-CN" w:bidi="zh-CN"/>
      </w:rPr>
    </w:lvl>
    <w:lvl w:ilvl="3">
      <w:numFmt w:val="bullet"/>
      <w:lvlText w:val=""/>
      <w:lvlJc w:val="left"/>
      <w:pPr>
        <w:ind w:left="1425" w:hanging="495"/>
      </w:pPr>
      <w:rPr>
        <w:rFonts w:ascii="Wingdings" w:eastAsia="Wingdings" w:hAnsi="Wingdings" w:cs="Wingdings" w:hint="default"/>
        <w:w w:val="100"/>
        <w:sz w:val="15"/>
        <w:szCs w:val="15"/>
        <w:lang w:val="zh-CN" w:eastAsia="zh-CN" w:bidi="zh-CN"/>
      </w:rPr>
    </w:lvl>
    <w:lvl w:ilvl="4">
      <w:numFmt w:val="bullet"/>
      <w:lvlText w:val="•"/>
      <w:lvlJc w:val="left"/>
      <w:pPr>
        <w:ind w:left="3276" w:hanging="495"/>
      </w:pPr>
      <w:rPr>
        <w:rFonts w:hint="default"/>
        <w:lang w:val="zh-CN" w:eastAsia="zh-CN" w:bidi="zh-CN"/>
      </w:rPr>
    </w:lvl>
    <w:lvl w:ilvl="5">
      <w:numFmt w:val="bullet"/>
      <w:lvlText w:val="•"/>
      <w:lvlJc w:val="left"/>
      <w:pPr>
        <w:ind w:left="4204" w:hanging="495"/>
      </w:pPr>
      <w:rPr>
        <w:rFonts w:hint="default"/>
        <w:lang w:val="zh-CN" w:eastAsia="zh-CN" w:bidi="zh-CN"/>
      </w:rPr>
    </w:lvl>
    <w:lvl w:ilvl="6">
      <w:numFmt w:val="bullet"/>
      <w:lvlText w:val="•"/>
      <w:lvlJc w:val="left"/>
      <w:pPr>
        <w:ind w:left="5133" w:hanging="495"/>
      </w:pPr>
      <w:rPr>
        <w:rFonts w:hint="default"/>
        <w:lang w:val="zh-CN" w:eastAsia="zh-CN" w:bidi="zh-CN"/>
      </w:rPr>
    </w:lvl>
    <w:lvl w:ilvl="7">
      <w:numFmt w:val="bullet"/>
      <w:lvlText w:val="•"/>
      <w:lvlJc w:val="left"/>
      <w:pPr>
        <w:ind w:left="6061" w:hanging="495"/>
      </w:pPr>
      <w:rPr>
        <w:rFonts w:hint="default"/>
        <w:lang w:val="zh-CN" w:eastAsia="zh-CN" w:bidi="zh-CN"/>
      </w:rPr>
    </w:lvl>
    <w:lvl w:ilvl="8">
      <w:numFmt w:val="bullet"/>
      <w:lvlText w:val="•"/>
      <w:lvlJc w:val="left"/>
      <w:pPr>
        <w:ind w:left="6989" w:hanging="495"/>
      </w:pPr>
      <w:rPr>
        <w:rFonts w:hint="default"/>
        <w:lang w:val="zh-CN" w:eastAsia="zh-CN" w:bidi="zh-CN"/>
      </w:rPr>
    </w:lvl>
  </w:abstractNum>
  <w:abstractNum w:abstractNumId="17" w15:restartNumberingAfterBreak="0">
    <w:nsid w:val="7A63792E"/>
    <w:multiLevelType w:val="hybridMultilevel"/>
    <w:tmpl w:val="36364100"/>
    <w:lvl w:ilvl="0" w:tplc="B92A11AC">
      <w:numFmt w:val="bullet"/>
      <w:lvlText w:val=""/>
      <w:lvlJc w:val="left"/>
      <w:pPr>
        <w:ind w:left="1559" w:hanging="420"/>
      </w:pPr>
      <w:rPr>
        <w:rFonts w:ascii="Wingdings" w:eastAsia="Wingdings" w:hAnsi="Wingdings" w:cs="Wingdings" w:hint="default"/>
        <w:w w:val="100"/>
        <w:sz w:val="16"/>
        <w:szCs w:val="16"/>
        <w:lang w:val="zh-CN" w:eastAsia="zh-CN" w:bidi="zh-CN"/>
      </w:rPr>
    </w:lvl>
    <w:lvl w:ilvl="1" w:tplc="54BC4324">
      <w:numFmt w:val="bullet"/>
      <w:lvlText w:val="•"/>
      <w:lvlJc w:val="left"/>
      <w:pPr>
        <w:ind w:left="2288" w:hanging="420"/>
      </w:pPr>
      <w:rPr>
        <w:rFonts w:hint="default"/>
        <w:lang w:val="zh-CN" w:eastAsia="zh-CN" w:bidi="zh-CN"/>
      </w:rPr>
    </w:lvl>
    <w:lvl w:ilvl="2" w:tplc="16F62444">
      <w:numFmt w:val="bullet"/>
      <w:lvlText w:val="•"/>
      <w:lvlJc w:val="left"/>
      <w:pPr>
        <w:ind w:left="3017" w:hanging="420"/>
      </w:pPr>
      <w:rPr>
        <w:rFonts w:hint="default"/>
        <w:lang w:val="zh-CN" w:eastAsia="zh-CN" w:bidi="zh-CN"/>
      </w:rPr>
    </w:lvl>
    <w:lvl w:ilvl="3" w:tplc="A738AE76">
      <w:numFmt w:val="bullet"/>
      <w:lvlText w:val="•"/>
      <w:lvlJc w:val="left"/>
      <w:pPr>
        <w:ind w:left="3745" w:hanging="420"/>
      </w:pPr>
      <w:rPr>
        <w:rFonts w:hint="default"/>
        <w:lang w:val="zh-CN" w:eastAsia="zh-CN" w:bidi="zh-CN"/>
      </w:rPr>
    </w:lvl>
    <w:lvl w:ilvl="4" w:tplc="6EBEFD48">
      <w:numFmt w:val="bullet"/>
      <w:lvlText w:val="•"/>
      <w:lvlJc w:val="left"/>
      <w:pPr>
        <w:ind w:left="4474" w:hanging="420"/>
      </w:pPr>
      <w:rPr>
        <w:rFonts w:hint="default"/>
        <w:lang w:val="zh-CN" w:eastAsia="zh-CN" w:bidi="zh-CN"/>
      </w:rPr>
    </w:lvl>
    <w:lvl w:ilvl="5" w:tplc="685E43FC">
      <w:numFmt w:val="bullet"/>
      <w:lvlText w:val="•"/>
      <w:lvlJc w:val="left"/>
      <w:pPr>
        <w:ind w:left="5203" w:hanging="420"/>
      </w:pPr>
      <w:rPr>
        <w:rFonts w:hint="default"/>
        <w:lang w:val="zh-CN" w:eastAsia="zh-CN" w:bidi="zh-CN"/>
      </w:rPr>
    </w:lvl>
    <w:lvl w:ilvl="6" w:tplc="AE4C29D6">
      <w:numFmt w:val="bullet"/>
      <w:lvlText w:val="•"/>
      <w:lvlJc w:val="left"/>
      <w:pPr>
        <w:ind w:left="5931" w:hanging="420"/>
      </w:pPr>
      <w:rPr>
        <w:rFonts w:hint="default"/>
        <w:lang w:val="zh-CN" w:eastAsia="zh-CN" w:bidi="zh-CN"/>
      </w:rPr>
    </w:lvl>
    <w:lvl w:ilvl="7" w:tplc="3C8AD10C">
      <w:numFmt w:val="bullet"/>
      <w:lvlText w:val="•"/>
      <w:lvlJc w:val="left"/>
      <w:pPr>
        <w:ind w:left="6660" w:hanging="420"/>
      </w:pPr>
      <w:rPr>
        <w:rFonts w:hint="default"/>
        <w:lang w:val="zh-CN" w:eastAsia="zh-CN" w:bidi="zh-CN"/>
      </w:rPr>
    </w:lvl>
    <w:lvl w:ilvl="8" w:tplc="4D725CEE">
      <w:numFmt w:val="bullet"/>
      <w:lvlText w:val="•"/>
      <w:lvlJc w:val="left"/>
      <w:pPr>
        <w:ind w:left="7389" w:hanging="420"/>
      </w:pPr>
      <w:rPr>
        <w:rFonts w:hint="default"/>
        <w:lang w:val="zh-CN" w:eastAsia="zh-CN" w:bidi="zh-CN"/>
      </w:rPr>
    </w:lvl>
  </w:abstractNum>
  <w:num w:numId="1" w16cid:durableId="244917406">
    <w:abstractNumId w:val="14"/>
  </w:num>
  <w:num w:numId="2" w16cid:durableId="1241981721">
    <w:abstractNumId w:val="13"/>
  </w:num>
  <w:num w:numId="3" w16cid:durableId="971062100">
    <w:abstractNumId w:val="10"/>
  </w:num>
  <w:num w:numId="4" w16cid:durableId="1518614035">
    <w:abstractNumId w:val="7"/>
  </w:num>
  <w:num w:numId="5" w16cid:durableId="107044658">
    <w:abstractNumId w:val="6"/>
  </w:num>
  <w:num w:numId="6" w16cid:durableId="47656600">
    <w:abstractNumId w:val="14"/>
  </w:num>
  <w:num w:numId="7" w16cid:durableId="1507674771">
    <w:abstractNumId w:val="13"/>
  </w:num>
  <w:num w:numId="8" w16cid:durableId="1201821295">
    <w:abstractNumId w:val="10"/>
  </w:num>
  <w:num w:numId="9" w16cid:durableId="512308253">
    <w:abstractNumId w:val="7"/>
  </w:num>
  <w:num w:numId="10" w16cid:durableId="274213962">
    <w:abstractNumId w:val="6"/>
  </w:num>
  <w:num w:numId="11" w16cid:durableId="1650790382">
    <w:abstractNumId w:val="14"/>
  </w:num>
  <w:num w:numId="12" w16cid:durableId="1652632509">
    <w:abstractNumId w:val="13"/>
  </w:num>
  <w:num w:numId="13" w16cid:durableId="1270628003">
    <w:abstractNumId w:val="10"/>
  </w:num>
  <w:num w:numId="14" w16cid:durableId="1334262994">
    <w:abstractNumId w:val="7"/>
  </w:num>
  <w:num w:numId="15" w16cid:durableId="1005716628">
    <w:abstractNumId w:val="6"/>
  </w:num>
  <w:num w:numId="16" w16cid:durableId="1335306567">
    <w:abstractNumId w:val="14"/>
  </w:num>
  <w:num w:numId="17" w16cid:durableId="346715569">
    <w:abstractNumId w:val="13"/>
  </w:num>
  <w:num w:numId="18" w16cid:durableId="227038844">
    <w:abstractNumId w:val="10"/>
  </w:num>
  <w:num w:numId="19" w16cid:durableId="1481455704">
    <w:abstractNumId w:val="7"/>
  </w:num>
  <w:num w:numId="20" w16cid:durableId="1744062213">
    <w:abstractNumId w:val="6"/>
  </w:num>
  <w:num w:numId="21" w16cid:durableId="232786607">
    <w:abstractNumId w:val="14"/>
  </w:num>
  <w:num w:numId="22" w16cid:durableId="264583851">
    <w:abstractNumId w:val="13"/>
  </w:num>
  <w:num w:numId="23" w16cid:durableId="348219566">
    <w:abstractNumId w:val="10"/>
  </w:num>
  <w:num w:numId="24" w16cid:durableId="548885784">
    <w:abstractNumId w:val="7"/>
  </w:num>
  <w:num w:numId="25" w16cid:durableId="1526824400">
    <w:abstractNumId w:val="6"/>
  </w:num>
  <w:num w:numId="26" w16cid:durableId="407775730">
    <w:abstractNumId w:val="14"/>
  </w:num>
  <w:num w:numId="27" w16cid:durableId="1722170239">
    <w:abstractNumId w:val="13"/>
  </w:num>
  <w:num w:numId="28" w16cid:durableId="455106726">
    <w:abstractNumId w:val="10"/>
  </w:num>
  <w:num w:numId="29" w16cid:durableId="844518824">
    <w:abstractNumId w:val="7"/>
  </w:num>
  <w:num w:numId="30" w16cid:durableId="271323012">
    <w:abstractNumId w:val="6"/>
  </w:num>
  <w:num w:numId="31" w16cid:durableId="925725123">
    <w:abstractNumId w:val="17"/>
  </w:num>
  <w:num w:numId="32" w16cid:durableId="1194616114">
    <w:abstractNumId w:val="8"/>
  </w:num>
  <w:num w:numId="33" w16cid:durableId="952446126">
    <w:abstractNumId w:val="12"/>
  </w:num>
  <w:num w:numId="34" w16cid:durableId="549730821">
    <w:abstractNumId w:val="16"/>
  </w:num>
  <w:num w:numId="35" w16cid:durableId="1775779639">
    <w:abstractNumId w:val="15"/>
  </w:num>
  <w:num w:numId="36" w16cid:durableId="742679420">
    <w:abstractNumId w:val="9"/>
  </w:num>
  <w:num w:numId="37" w16cid:durableId="2107270034">
    <w:abstractNumId w:val="0"/>
  </w:num>
  <w:num w:numId="38" w16cid:durableId="1148059902">
    <w:abstractNumId w:val="4"/>
  </w:num>
  <w:num w:numId="39" w16cid:durableId="2015911008">
    <w:abstractNumId w:val="3"/>
  </w:num>
  <w:num w:numId="40" w16cid:durableId="1805192364">
    <w:abstractNumId w:val="1"/>
  </w:num>
  <w:num w:numId="41" w16cid:durableId="1313100007">
    <w:abstractNumId w:val="5"/>
  </w:num>
  <w:num w:numId="42" w16cid:durableId="607196262">
    <w:abstractNumId w:val="11"/>
  </w:num>
  <w:num w:numId="43" w16cid:durableId="670453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AE"/>
    <w:rsid w:val="000001A8"/>
    <w:rsid w:val="000016B9"/>
    <w:rsid w:val="00001963"/>
    <w:rsid w:val="000042B7"/>
    <w:rsid w:val="00016BA7"/>
    <w:rsid w:val="00017EBC"/>
    <w:rsid w:val="00024E6C"/>
    <w:rsid w:val="0003151F"/>
    <w:rsid w:val="000330CC"/>
    <w:rsid w:val="000330CD"/>
    <w:rsid w:val="0003437D"/>
    <w:rsid w:val="000353A7"/>
    <w:rsid w:val="00036AFE"/>
    <w:rsid w:val="00036E68"/>
    <w:rsid w:val="00037722"/>
    <w:rsid w:val="00044C2E"/>
    <w:rsid w:val="00051030"/>
    <w:rsid w:val="00057B42"/>
    <w:rsid w:val="00060CE4"/>
    <w:rsid w:val="00063406"/>
    <w:rsid w:val="00073E42"/>
    <w:rsid w:val="00074A9F"/>
    <w:rsid w:val="000757DF"/>
    <w:rsid w:val="0007584D"/>
    <w:rsid w:val="00083D04"/>
    <w:rsid w:val="00085983"/>
    <w:rsid w:val="000907EC"/>
    <w:rsid w:val="000911FE"/>
    <w:rsid w:val="00091AFE"/>
    <w:rsid w:val="000921CB"/>
    <w:rsid w:val="00092D2B"/>
    <w:rsid w:val="00093E51"/>
    <w:rsid w:val="00094A06"/>
    <w:rsid w:val="000A01C6"/>
    <w:rsid w:val="000A17B1"/>
    <w:rsid w:val="000A190B"/>
    <w:rsid w:val="000A1934"/>
    <w:rsid w:val="000A1DB6"/>
    <w:rsid w:val="000A2CF1"/>
    <w:rsid w:val="000A3372"/>
    <w:rsid w:val="000A4788"/>
    <w:rsid w:val="000A7962"/>
    <w:rsid w:val="000A7A09"/>
    <w:rsid w:val="000B122E"/>
    <w:rsid w:val="000B1371"/>
    <w:rsid w:val="000B3A3F"/>
    <w:rsid w:val="000B3AA7"/>
    <w:rsid w:val="000C1801"/>
    <w:rsid w:val="000C1B68"/>
    <w:rsid w:val="000C30D0"/>
    <w:rsid w:val="000C4B2C"/>
    <w:rsid w:val="000C4DFF"/>
    <w:rsid w:val="000C4F99"/>
    <w:rsid w:val="000D1919"/>
    <w:rsid w:val="000D3BD0"/>
    <w:rsid w:val="000D3C71"/>
    <w:rsid w:val="000D6A0F"/>
    <w:rsid w:val="000D7FB7"/>
    <w:rsid w:val="000E0693"/>
    <w:rsid w:val="000E7B12"/>
    <w:rsid w:val="000F05D9"/>
    <w:rsid w:val="000F18A7"/>
    <w:rsid w:val="000F236D"/>
    <w:rsid w:val="000F325C"/>
    <w:rsid w:val="000F415E"/>
    <w:rsid w:val="000F43B4"/>
    <w:rsid w:val="000F4A77"/>
    <w:rsid w:val="000F5880"/>
    <w:rsid w:val="000F600C"/>
    <w:rsid w:val="000F7FF5"/>
    <w:rsid w:val="00100519"/>
    <w:rsid w:val="001006F3"/>
    <w:rsid w:val="001020EE"/>
    <w:rsid w:val="001041A8"/>
    <w:rsid w:val="00105110"/>
    <w:rsid w:val="00106C35"/>
    <w:rsid w:val="00107CD5"/>
    <w:rsid w:val="001147D1"/>
    <w:rsid w:val="0011489E"/>
    <w:rsid w:val="00116F2C"/>
    <w:rsid w:val="0011723A"/>
    <w:rsid w:val="0012195D"/>
    <w:rsid w:val="00121B6A"/>
    <w:rsid w:val="00121D9E"/>
    <w:rsid w:val="00122CF4"/>
    <w:rsid w:val="00122F94"/>
    <w:rsid w:val="00124432"/>
    <w:rsid w:val="001255D1"/>
    <w:rsid w:val="00135468"/>
    <w:rsid w:val="00137377"/>
    <w:rsid w:val="00140534"/>
    <w:rsid w:val="00141985"/>
    <w:rsid w:val="00143043"/>
    <w:rsid w:val="00145A26"/>
    <w:rsid w:val="0015456A"/>
    <w:rsid w:val="00160C2D"/>
    <w:rsid w:val="00161B8A"/>
    <w:rsid w:val="00162190"/>
    <w:rsid w:val="00163F22"/>
    <w:rsid w:val="0016576A"/>
    <w:rsid w:val="001702DE"/>
    <w:rsid w:val="00172C56"/>
    <w:rsid w:val="001744F4"/>
    <w:rsid w:val="00174B39"/>
    <w:rsid w:val="0017634C"/>
    <w:rsid w:val="00177AC5"/>
    <w:rsid w:val="00182696"/>
    <w:rsid w:val="00182BE9"/>
    <w:rsid w:val="00183519"/>
    <w:rsid w:val="00184394"/>
    <w:rsid w:val="00184649"/>
    <w:rsid w:val="00187B0D"/>
    <w:rsid w:val="00187DD9"/>
    <w:rsid w:val="001901A1"/>
    <w:rsid w:val="00192EAF"/>
    <w:rsid w:val="001936DB"/>
    <w:rsid w:val="00193F20"/>
    <w:rsid w:val="001973BE"/>
    <w:rsid w:val="001A0075"/>
    <w:rsid w:val="001A0970"/>
    <w:rsid w:val="001A2AF6"/>
    <w:rsid w:val="001A763C"/>
    <w:rsid w:val="001B0DA9"/>
    <w:rsid w:val="001B23D2"/>
    <w:rsid w:val="001B27D0"/>
    <w:rsid w:val="001B4C58"/>
    <w:rsid w:val="001B6121"/>
    <w:rsid w:val="001B6168"/>
    <w:rsid w:val="001C0C4E"/>
    <w:rsid w:val="001C13E5"/>
    <w:rsid w:val="001C2174"/>
    <w:rsid w:val="001C2400"/>
    <w:rsid w:val="001C524E"/>
    <w:rsid w:val="001D27F8"/>
    <w:rsid w:val="001D29F2"/>
    <w:rsid w:val="001D2A4F"/>
    <w:rsid w:val="001D383E"/>
    <w:rsid w:val="001D4C6A"/>
    <w:rsid w:val="001D5716"/>
    <w:rsid w:val="001D6002"/>
    <w:rsid w:val="001D6FF5"/>
    <w:rsid w:val="001D71ED"/>
    <w:rsid w:val="001E2A04"/>
    <w:rsid w:val="001E4B19"/>
    <w:rsid w:val="001F004B"/>
    <w:rsid w:val="001F0D8D"/>
    <w:rsid w:val="001F268A"/>
    <w:rsid w:val="001F3F5E"/>
    <w:rsid w:val="001F5132"/>
    <w:rsid w:val="001F53A0"/>
    <w:rsid w:val="001F778F"/>
    <w:rsid w:val="00201E89"/>
    <w:rsid w:val="00203D48"/>
    <w:rsid w:val="00204CB8"/>
    <w:rsid w:val="00204F00"/>
    <w:rsid w:val="0021115D"/>
    <w:rsid w:val="00212787"/>
    <w:rsid w:val="00212C9B"/>
    <w:rsid w:val="00213ECC"/>
    <w:rsid w:val="00216E5C"/>
    <w:rsid w:val="0022087D"/>
    <w:rsid w:val="00220FAE"/>
    <w:rsid w:val="0022170D"/>
    <w:rsid w:val="00222DC1"/>
    <w:rsid w:val="0022743A"/>
    <w:rsid w:val="00230719"/>
    <w:rsid w:val="002310F8"/>
    <w:rsid w:val="00232CB3"/>
    <w:rsid w:val="00232D4F"/>
    <w:rsid w:val="00235E73"/>
    <w:rsid w:val="00237B06"/>
    <w:rsid w:val="00240262"/>
    <w:rsid w:val="00243F71"/>
    <w:rsid w:val="002466E1"/>
    <w:rsid w:val="0025661B"/>
    <w:rsid w:val="0025701C"/>
    <w:rsid w:val="002574FE"/>
    <w:rsid w:val="0026166F"/>
    <w:rsid w:val="00261A21"/>
    <w:rsid w:val="00263580"/>
    <w:rsid w:val="0026444B"/>
    <w:rsid w:val="002671CA"/>
    <w:rsid w:val="00267A41"/>
    <w:rsid w:val="00267D86"/>
    <w:rsid w:val="00277798"/>
    <w:rsid w:val="002778B2"/>
    <w:rsid w:val="00280EF1"/>
    <w:rsid w:val="0028400E"/>
    <w:rsid w:val="0029161D"/>
    <w:rsid w:val="00292807"/>
    <w:rsid w:val="002937DE"/>
    <w:rsid w:val="002A00EE"/>
    <w:rsid w:val="002A1656"/>
    <w:rsid w:val="002A1D80"/>
    <w:rsid w:val="002A2C8E"/>
    <w:rsid w:val="002A53C9"/>
    <w:rsid w:val="002B090C"/>
    <w:rsid w:val="002B0984"/>
    <w:rsid w:val="002B5100"/>
    <w:rsid w:val="002C0B66"/>
    <w:rsid w:val="002C12EC"/>
    <w:rsid w:val="002C2445"/>
    <w:rsid w:val="002C372A"/>
    <w:rsid w:val="002C5208"/>
    <w:rsid w:val="002C7CD9"/>
    <w:rsid w:val="002D0C68"/>
    <w:rsid w:val="002D2A4C"/>
    <w:rsid w:val="002D3205"/>
    <w:rsid w:val="002D3BB4"/>
    <w:rsid w:val="002D4845"/>
    <w:rsid w:val="002D6482"/>
    <w:rsid w:val="002E1096"/>
    <w:rsid w:val="002E404F"/>
    <w:rsid w:val="002E48C2"/>
    <w:rsid w:val="002E4C71"/>
    <w:rsid w:val="002E65E1"/>
    <w:rsid w:val="002E6645"/>
    <w:rsid w:val="002E6864"/>
    <w:rsid w:val="002E76AA"/>
    <w:rsid w:val="002F130C"/>
    <w:rsid w:val="002F32A8"/>
    <w:rsid w:val="002F3310"/>
    <w:rsid w:val="0030144E"/>
    <w:rsid w:val="003025C8"/>
    <w:rsid w:val="00302751"/>
    <w:rsid w:val="003065E6"/>
    <w:rsid w:val="003069A4"/>
    <w:rsid w:val="00307C68"/>
    <w:rsid w:val="0031032E"/>
    <w:rsid w:val="00312B12"/>
    <w:rsid w:val="00312CBF"/>
    <w:rsid w:val="00313575"/>
    <w:rsid w:val="0031621A"/>
    <w:rsid w:val="00316764"/>
    <w:rsid w:val="00322500"/>
    <w:rsid w:val="003228FA"/>
    <w:rsid w:val="00322A98"/>
    <w:rsid w:val="0032411D"/>
    <w:rsid w:val="00325054"/>
    <w:rsid w:val="003351F6"/>
    <w:rsid w:val="00337B3A"/>
    <w:rsid w:val="00341E72"/>
    <w:rsid w:val="00346C00"/>
    <w:rsid w:val="00346E76"/>
    <w:rsid w:val="00351D34"/>
    <w:rsid w:val="00351F3D"/>
    <w:rsid w:val="00352047"/>
    <w:rsid w:val="00360C84"/>
    <w:rsid w:val="00361B6F"/>
    <w:rsid w:val="003623DB"/>
    <w:rsid w:val="00363790"/>
    <w:rsid w:val="00363CD3"/>
    <w:rsid w:val="00366508"/>
    <w:rsid w:val="00367519"/>
    <w:rsid w:val="00367720"/>
    <w:rsid w:val="003711BA"/>
    <w:rsid w:val="00372335"/>
    <w:rsid w:val="00372F7C"/>
    <w:rsid w:val="003749F9"/>
    <w:rsid w:val="00377C53"/>
    <w:rsid w:val="00380E75"/>
    <w:rsid w:val="003815FC"/>
    <w:rsid w:val="00382A29"/>
    <w:rsid w:val="00383329"/>
    <w:rsid w:val="00385279"/>
    <w:rsid w:val="003857D3"/>
    <w:rsid w:val="00385AAD"/>
    <w:rsid w:val="00386891"/>
    <w:rsid w:val="003905DA"/>
    <w:rsid w:val="00394890"/>
    <w:rsid w:val="003956C3"/>
    <w:rsid w:val="00395DFF"/>
    <w:rsid w:val="003A035E"/>
    <w:rsid w:val="003A0B66"/>
    <w:rsid w:val="003A2469"/>
    <w:rsid w:val="003A396F"/>
    <w:rsid w:val="003A5127"/>
    <w:rsid w:val="003A521E"/>
    <w:rsid w:val="003A53A4"/>
    <w:rsid w:val="003A7662"/>
    <w:rsid w:val="003B0C6B"/>
    <w:rsid w:val="003B3757"/>
    <w:rsid w:val="003B54E7"/>
    <w:rsid w:val="003B56C8"/>
    <w:rsid w:val="003B59CA"/>
    <w:rsid w:val="003B66B4"/>
    <w:rsid w:val="003C090B"/>
    <w:rsid w:val="003C186E"/>
    <w:rsid w:val="003C2944"/>
    <w:rsid w:val="003D1852"/>
    <w:rsid w:val="003D34BB"/>
    <w:rsid w:val="003D4B4A"/>
    <w:rsid w:val="003D6587"/>
    <w:rsid w:val="003D7471"/>
    <w:rsid w:val="003D7F4F"/>
    <w:rsid w:val="003E7A00"/>
    <w:rsid w:val="003F0F83"/>
    <w:rsid w:val="003F1A14"/>
    <w:rsid w:val="003F2236"/>
    <w:rsid w:val="003F2C52"/>
    <w:rsid w:val="003F4A0D"/>
    <w:rsid w:val="003F50B1"/>
    <w:rsid w:val="003F6706"/>
    <w:rsid w:val="003F6B2A"/>
    <w:rsid w:val="003F7068"/>
    <w:rsid w:val="003F7CBB"/>
    <w:rsid w:val="00402CAA"/>
    <w:rsid w:val="0040313E"/>
    <w:rsid w:val="00405882"/>
    <w:rsid w:val="0041052F"/>
    <w:rsid w:val="00414121"/>
    <w:rsid w:val="00416A4E"/>
    <w:rsid w:val="00420D51"/>
    <w:rsid w:val="00422428"/>
    <w:rsid w:val="00422CE9"/>
    <w:rsid w:val="00423339"/>
    <w:rsid w:val="00426F72"/>
    <w:rsid w:val="00433F5F"/>
    <w:rsid w:val="004354E0"/>
    <w:rsid w:val="004413BD"/>
    <w:rsid w:val="00443BA8"/>
    <w:rsid w:val="00445A63"/>
    <w:rsid w:val="00451CCA"/>
    <w:rsid w:val="00452471"/>
    <w:rsid w:val="00457554"/>
    <w:rsid w:val="00463D4E"/>
    <w:rsid w:val="00470BE0"/>
    <w:rsid w:val="004711E8"/>
    <w:rsid w:val="004718CF"/>
    <w:rsid w:val="00473730"/>
    <w:rsid w:val="00474F3E"/>
    <w:rsid w:val="00476214"/>
    <w:rsid w:val="004765FF"/>
    <w:rsid w:val="00477CF8"/>
    <w:rsid w:val="00477FBA"/>
    <w:rsid w:val="00481490"/>
    <w:rsid w:val="004828B2"/>
    <w:rsid w:val="00483229"/>
    <w:rsid w:val="004909CA"/>
    <w:rsid w:val="00491C67"/>
    <w:rsid w:val="004A0F07"/>
    <w:rsid w:val="004A2E6C"/>
    <w:rsid w:val="004A4C10"/>
    <w:rsid w:val="004A56D0"/>
    <w:rsid w:val="004B128A"/>
    <w:rsid w:val="004B2068"/>
    <w:rsid w:val="004B3C3D"/>
    <w:rsid w:val="004B436C"/>
    <w:rsid w:val="004B56E2"/>
    <w:rsid w:val="004B63F5"/>
    <w:rsid w:val="004C037A"/>
    <w:rsid w:val="004C057D"/>
    <w:rsid w:val="004C06C3"/>
    <w:rsid w:val="004C3566"/>
    <w:rsid w:val="004C5B4D"/>
    <w:rsid w:val="004D034F"/>
    <w:rsid w:val="004D0E70"/>
    <w:rsid w:val="004D2231"/>
    <w:rsid w:val="004D3726"/>
    <w:rsid w:val="004D59F6"/>
    <w:rsid w:val="004D6F28"/>
    <w:rsid w:val="004E1B77"/>
    <w:rsid w:val="004E2589"/>
    <w:rsid w:val="004E6B35"/>
    <w:rsid w:val="004F169F"/>
    <w:rsid w:val="004F2340"/>
    <w:rsid w:val="004F3BEB"/>
    <w:rsid w:val="004F411C"/>
    <w:rsid w:val="004F461F"/>
    <w:rsid w:val="004F6216"/>
    <w:rsid w:val="004F6D8F"/>
    <w:rsid w:val="004F6DED"/>
    <w:rsid w:val="00503FB4"/>
    <w:rsid w:val="00504955"/>
    <w:rsid w:val="00505D03"/>
    <w:rsid w:val="005106C9"/>
    <w:rsid w:val="00510C36"/>
    <w:rsid w:val="005125EF"/>
    <w:rsid w:val="0051358B"/>
    <w:rsid w:val="005152E0"/>
    <w:rsid w:val="005162FC"/>
    <w:rsid w:val="00516535"/>
    <w:rsid w:val="005212DF"/>
    <w:rsid w:val="00526769"/>
    <w:rsid w:val="00527126"/>
    <w:rsid w:val="00527549"/>
    <w:rsid w:val="0053591E"/>
    <w:rsid w:val="00536A7F"/>
    <w:rsid w:val="00540BFE"/>
    <w:rsid w:val="005456AC"/>
    <w:rsid w:val="00550C19"/>
    <w:rsid w:val="005515CA"/>
    <w:rsid w:val="00552CFC"/>
    <w:rsid w:val="00552E29"/>
    <w:rsid w:val="00555E6D"/>
    <w:rsid w:val="00557098"/>
    <w:rsid w:val="005609E9"/>
    <w:rsid w:val="005620BE"/>
    <w:rsid w:val="00562177"/>
    <w:rsid w:val="0056416A"/>
    <w:rsid w:val="0056435B"/>
    <w:rsid w:val="005756D0"/>
    <w:rsid w:val="00577E4E"/>
    <w:rsid w:val="00580B62"/>
    <w:rsid w:val="0058308F"/>
    <w:rsid w:val="005843B4"/>
    <w:rsid w:val="00587798"/>
    <w:rsid w:val="00592FE1"/>
    <w:rsid w:val="005941AA"/>
    <w:rsid w:val="005A1D68"/>
    <w:rsid w:val="005A2031"/>
    <w:rsid w:val="005A2C8E"/>
    <w:rsid w:val="005A4535"/>
    <w:rsid w:val="005A7DBE"/>
    <w:rsid w:val="005B3F89"/>
    <w:rsid w:val="005B4AA2"/>
    <w:rsid w:val="005B5922"/>
    <w:rsid w:val="005B7C0C"/>
    <w:rsid w:val="005B7DF7"/>
    <w:rsid w:val="005C55F1"/>
    <w:rsid w:val="005C5C33"/>
    <w:rsid w:val="005C5E04"/>
    <w:rsid w:val="005D17CF"/>
    <w:rsid w:val="005D4FB3"/>
    <w:rsid w:val="005E02F4"/>
    <w:rsid w:val="005E0878"/>
    <w:rsid w:val="005E1E8D"/>
    <w:rsid w:val="005E6C6B"/>
    <w:rsid w:val="005F425A"/>
    <w:rsid w:val="005F47B1"/>
    <w:rsid w:val="005F51AE"/>
    <w:rsid w:val="005F7055"/>
    <w:rsid w:val="005F71D7"/>
    <w:rsid w:val="005F78EC"/>
    <w:rsid w:val="005F79AE"/>
    <w:rsid w:val="00603104"/>
    <w:rsid w:val="00603779"/>
    <w:rsid w:val="00603919"/>
    <w:rsid w:val="00611EBC"/>
    <w:rsid w:val="00613086"/>
    <w:rsid w:val="00614BFC"/>
    <w:rsid w:val="00621EE9"/>
    <w:rsid w:val="006256C6"/>
    <w:rsid w:val="00625760"/>
    <w:rsid w:val="0062596A"/>
    <w:rsid w:val="00627953"/>
    <w:rsid w:val="00627F20"/>
    <w:rsid w:val="00630881"/>
    <w:rsid w:val="00631B0F"/>
    <w:rsid w:val="00636CA8"/>
    <w:rsid w:val="00641E46"/>
    <w:rsid w:val="00644E82"/>
    <w:rsid w:val="00647120"/>
    <w:rsid w:val="00650255"/>
    <w:rsid w:val="00652280"/>
    <w:rsid w:val="00652581"/>
    <w:rsid w:val="006531F3"/>
    <w:rsid w:val="0065488C"/>
    <w:rsid w:val="006630F2"/>
    <w:rsid w:val="006659F3"/>
    <w:rsid w:val="00672F62"/>
    <w:rsid w:val="006736D8"/>
    <w:rsid w:val="00673DA6"/>
    <w:rsid w:val="00674528"/>
    <w:rsid w:val="0067653C"/>
    <w:rsid w:val="00676B14"/>
    <w:rsid w:val="00677CCC"/>
    <w:rsid w:val="00680941"/>
    <w:rsid w:val="00680F41"/>
    <w:rsid w:val="00682020"/>
    <w:rsid w:val="0068363C"/>
    <w:rsid w:val="00684D33"/>
    <w:rsid w:val="00685976"/>
    <w:rsid w:val="006876D5"/>
    <w:rsid w:val="0069036E"/>
    <w:rsid w:val="00693BE7"/>
    <w:rsid w:val="006A1F48"/>
    <w:rsid w:val="006A4D6C"/>
    <w:rsid w:val="006A6BD6"/>
    <w:rsid w:val="006B00D6"/>
    <w:rsid w:val="006B19B1"/>
    <w:rsid w:val="006B3D37"/>
    <w:rsid w:val="006B42C5"/>
    <w:rsid w:val="006B436C"/>
    <w:rsid w:val="006B6A7C"/>
    <w:rsid w:val="006C0013"/>
    <w:rsid w:val="006C12CE"/>
    <w:rsid w:val="006C3227"/>
    <w:rsid w:val="006C38FF"/>
    <w:rsid w:val="006C3E90"/>
    <w:rsid w:val="006C4460"/>
    <w:rsid w:val="006C654D"/>
    <w:rsid w:val="006C6D29"/>
    <w:rsid w:val="006D17F9"/>
    <w:rsid w:val="006D2104"/>
    <w:rsid w:val="006D716F"/>
    <w:rsid w:val="006D73DB"/>
    <w:rsid w:val="006D7BB1"/>
    <w:rsid w:val="006E105F"/>
    <w:rsid w:val="006E29E1"/>
    <w:rsid w:val="006E75C9"/>
    <w:rsid w:val="006E780E"/>
    <w:rsid w:val="006E7B21"/>
    <w:rsid w:val="006F19FD"/>
    <w:rsid w:val="006F2D8F"/>
    <w:rsid w:val="006F4C18"/>
    <w:rsid w:val="006F502F"/>
    <w:rsid w:val="00700551"/>
    <w:rsid w:val="00700977"/>
    <w:rsid w:val="00700DA2"/>
    <w:rsid w:val="0070258E"/>
    <w:rsid w:val="00703943"/>
    <w:rsid w:val="00704EFC"/>
    <w:rsid w:val="00705B54"/>
    <w:rsid w:val="00707165"/>
    <w:rsid w:val="00707414"/>
    <w:rsid w:val="00710F9B"/>
    <w:rsid w:val="007167F0"/>
    <w:rsid w:val="007205DB"/>
    <w:rsid w:val="0072212D"/>
    <w:rsid w:val="007222D8"/>
    <w:rsid w:val="00723092"/>
    <w:rsid w:val="0072316C"/>
    <w:rsid w:val="007232E2"/>
    <w:rsid w:val="00724FF6"/>
    <w:rsid w:val="00725037"/>
    <w:rsid w:val="00734214"/>
    <w:rsid w:val="007356EB"/>
    <w:rsid w:val="00735AE1"/>
    <w:rsid w:val="00746C16"/>
    <w:rsid w:val="00751B63"/>
    <w:rsid w:val="00753108"/>
    <w:rsid w:val="00755B8A"/>
    <w:rsid w:val="0075797E"/>
    <w:rsid w:val="007617A0"/>
    <w:rsid w:val="00763149"/>
    <w:rsid w:val="00766891"/>
    <w:rsid w:val="0077057F"/>
    <w:rsid w:val="00771430"/>
    <w:rsid w:val="0077174B"/>
    <w:rsid w:val="00771E90"/>
    <w:rsid w:val="00772E8D"/>
    <w:rsid w:val="00775A11"/>
    <w:rsid w:val="007763F2"/>
    <w:rsid w:val="00776F81"/>
    <w:rsid w:val="00781A49"/>
    <w:rsid w:val="00781D0B"/>
    <w:rsid w:val="00782A87"/>
    <w:rsid w:val="00782B3A"/>
    <w:rsid w:val="00783E9A"/>
    <w:rsid w:val="0078488B"/>
    <w:rsid w:val="00785F89"/>
    <w:rsid w:val="00790113"/>
    <w:rsid w:val="0079011E"/>
    <w:rsid w:val="00794185"/>
    <w:rsid w:val="0079464D"/>
    <w:rsid w:val="007A0985"/>
    <w:rsid w:val="007A50E1"/>
    <w:rsid w:val="007A673E"/>
    <w:rsid w:val="007B1ED7"/>
    <w:rsid w:val="007B3063"/>
    <w:rsid w:val="007B67D5"/>
    <w:rsid w:val="007B7347"/>
    <w:rsid w:val="007C1519"/>
    <w:rsid w:val="007C49B2"/>
    <w:rsid w:val="007C616C"/>
    <w:rsid w:val="007C7660"/>
    <w:rsid w:val="007D252B"/>
    <w:rsid w:val="007D4021"/>
    <w:rsid w:val="007D71EE"/>
    <w:rsid w:val="007D7288"/>
    <w:rsid w:val="007E1B8B"/>
    <w:rsid w:val="007F1E30"/>
    <w:rsid w:val="007F232B"/>
    <w:rsid w:val="007F2447"/>
    <w:rsid w:val="007F34E2"/>
    <w:rsid w:val="007F5D22"/>
    <w:rsid w:val="007F6B05"/>
    <w:rsid w:val="007F7B31"/>
    <w:rsid w:val="0080049F"/>
    <w:rsid w:val="008055C3"/>
    <w:rsid w:val="00805F95"/>
    <w:rsid w:val="00810031"/>
    <w:rsid w:val="0081042B"/>
    <w:rsid w:val="0081561B"/>
    <w:rsid w:val="00817C80"/>
    <w:rsid w:val="00820AF9"/>
    <w:rsid w:val="00824725"/>
    <w:rsid w:val="00824ADF"/>
    <w:rsid w:val="00825E75"/>
    <w:rsid w:val="008308C4"/>
    <w:rsid w:val="008343B8"/>
    <w:rsid w:val="008350AF"/>
    <w:rsid w:val="00836045"/>
    <w:rsid w:val="0084422C"/>
    <w:rsid w:val="008455CC"/>
    <w:rsid w:val="00852421"/>
    <w:rsid w:val="00860AA1"/>
    <w:rsid w:val="00861355"/>
    <w:rsid w:val="00865081"/>
    <w:rsid w:val="008653B0"/>
    <w:rsid w:val="00870A1C"/>
    <w:rsid w:val="00871AF0"/>
    <w:rsid w:val="00872C77"/>
    <w:rsid w:val="00872CCC"/>
    <w:rsid w:val="008771DF"/>
    <w:rsid w:val="008779DD"/>
    <w:rsid w:val="008824CD"/>
    <w:rsid w:val="008824D9"/>
    <w:rsid w:val="00885E64"/>
    <w:rsid w:val="00890F8A"/>
    <w:rsid w:val="00892840"/>
    <w:rsid w:val="00893511"/>
    <w:rsid w:val="008939B2"/>
    <w:rsid w:val="008A168A"/>
    <w:rsid w:val="008A5544"/>
    <w:rsid w:val="008A66DD"/>
    <w:rsid w:val="008A7AB6"/>
    <w:rsid w:val="008B0121"/>
    <w:rsid w:val="008B0E7F"/>
    <w:rsid w:val="008B1347"/>
    <w:rsid w:val="008B5602"/>
    <w:rsid w:val="008B631F"/>
    <w:rsid w:val="008C15BF"/>
    <w:rsid w:val="008C25EF"/>
    <w:rsid w:val="008C285B"/>
    <w:rsid w:val="008C3459"/>
    <w:rsid w:val="008C38AD"/>
    <w:rsid w:val="008C3A2A"/>
    <w:rsid w:val="008C54FB"/>
    <w:rsid w:val="008C5637"/>
    <w:rsid w:val="008C6EF3"/>
    <w:rsid w:val="008D0C95"/>
    <w:rsid w:val="008D27D5"/>
    <w:rsid w:val="008D2C7B"/>
    <w:rsid w:val="008D4E2C"/>
    <w:rsid w:val="008D77BC"/>
    <w:rsid w:val="008E06A3"/>
    <w:rsid w:val="008E1158"/>
    <w:rsid w:val="008E2C1F"/>
    <w:rsid w:val="008E6A1A"/>
    <w:rsid w:val="008E7069"/>
    <w:rsid w:val="008F40A6"/>
    <w:rsid w:val="008F4D16"/>
    <w:rsid w:val="008F61B9"/>
    <w:rsid w:val="009011C2"/>
    <w:rsid w:val="0090507A"/>
    <w:rsid w:val="009066F4"/>
    <w:rsid w:val="00907459"/>
    <w:rsid w:val="00907679"/>
    <w:rsid w:val="00914589"/>
    <w:rsid w:val="00915455"/>
    <w:rsid w:val="00916861"/>
    <w:rsid w:val="00923362"/>
    <w:rsid w:val="0092378D"/>
    <w:rsid w:val="00923877"/>
    <w:rsid w:val="00924E40"/>
    <w:rsid w:val="00924F96"/>
    <w:rsid w:val="0092642E"/>
    <w:rsid w:val="00927D53"/>
    <w:rsid w:val="00933CBD"/>
    <w:rsid w:val="00934B8D"/>
    <w:rsid w:val="00936EAF"/>
    <w:rsid w:val="00940D9D"/>
    <w:rsid w:val="00941FBA"/>
    <w:rsid w:val="00942269"/>
    <w:rsid w:val="00942B86"/>
    <w:rsid w:val="00943D70"/>
    <w:rsid w:val="00943E4E"/>
    <w:rsid w:val="00944FEE"/>
    <w:rsid w:val="00953439"/>
    <w:rsid w:val="00957CF9"/>
    <w:rsid w:val="0096129D"/>
    <w:rsid w:val="009663D5"/>
    <w:rsid w:val="009720B5"/>
    <w:rsid w:val="00977A0C"/>
    <w:rsid w:val="00977E0A"/>
    <w:rsid w:val="009803FC"/>
    <w:rsid w:val="00980CCA"/>
    <w:rsid w:val="00981079"/>
    <w:rsid w:val="00982DE3"/>
    <w:rsid w:val="00985730"/>
    <w:rsid w:val="00985FE0"/>
    <w:rsid w:val="009914B3"/>
    <w:rsid w:val="0099591B"/>
    <w:rsid w:val="0099614B"/>
    <w:rsid w:val="00996D32"/>
    <w:rsid w:val="009A26B4"/>
    <w:rsid w:val="009A5EA9"/>
    <w:rsid w:val="009A6524"/>
    <w:rsid w:val="009B19FE"/>
    <w:rsid w:val="009B20D8"/>
    <w:rsid w:val="009B22F5"/>
    <w:rsid w:val="009B3E76"/>
    <w:rsid w:val="009B49A2"/>
    <w:rsid w:val="009C3DF1"/>
    <w:rsid w:val="009C41C0"/>
    <w:rsid w:val="009D0010"/>
    <w:rsid w:val="009D0E79"/>
    <w:rsid w:val="009D2DD6"/>
    <w:rsid w:val="009D7349"/>
    <w:rsid w:val="009D786D"/>
    <w:rsid w:val="009D7A79"/>
    <w:rsid w:val="009E3071"/>
    <w:rsid w:val="009E3920"/>
    <w:rsid w:val="009E4B06"/>
    <w:rsid w:val="009E7190"/>
    <w:rsid w:val="009E7A1E"/>
    <w:rsid w:val="009F2BDC"/>
    <w:rsid w:val="009F55D5"/>
    <w:rsid w:val="00A00C80"/>
    <w:rsid w:val="00A01986"/>
    <w:rsid w:val="00A03780"/>
    <w:rsid w:val="00A045C1"/>
    <w:rsid w:val="00A0759D"/>
    <w:rsid w:val="00A10004"/>
    <w:rsid w:val="00A103A4"/>
    <w:rsid w:val="00A13EC4"/>
    <w:rsid w:val="00A14C4C"/>
    <w:rsid w:val="00A153E0"/>
    <w:rsid w:val="00A17BA9"/>
    <w:rsid w:val="00A17E5A"/>
    <w:rsid w:val="00A20F94"/>
    <w:rsid w:val="00A2209B"/>
    <w:rsid w:val="00A236C2"/>
    <w:rsid w:val="00A241B2"/>
    <w:rsid w:val="00A2575F"/>
    <w:rsid w:val="00A26743"/>
    <w:rsid w:val="00A27E07"/>
    <w:rsid w:val="00A31692"/>
    <w:rsid w:val="00A33880"/>
    <w:rsid w:val="00A36842"/>
    <w:rsid w:val="00A40064"/>
    <w:rsid w:val="00A41D5F"/>
    <w:rsid w:val="00A44B71"/>
    <w:rsid w:val="00A44DEA"/>
    <w:rsid w:val="00A45298"/>
    <w:rsid w:val="00A71A7A"/>
    <w:rsid w:val="00A73294"/>
    <w:rsid w:val="00A74050"/>
    <w:rsid w:val="00A74A2B"/>
    <w:rsid w:val="00A76FB0"/>
    <w:rsid w:val="00A83F52"/>
    <w:rsid w:val="00A85231"/>
    <w:rsid w:val="00A85B1E"/>
    <w:rsid w:val="00A861E1"/>
    <w:rsid w:val="00A91284"/>
    <w:rsid w:val="00A9312E"/>
    <w:rsid w:val="00A9507B"/>
    <w:rsid w:val="00A978EE"/>
    <w:rsid w:val="00AA1362"/>
    <w:rsid w:val="00AA3B46"/>
    <w:rsid w:val="00AA66DA"/>
    <w:rsid w:val="00AB009E"/>
    <w:rsid w:val="00AB1A2D"/>
    <w:rsid w:val="00AB64FE"/>
    <w:rsid w:val="00AC0631"/>
    <w:rsid w:val="00AC0F62"/>
    <w:rsid w:val="00AC1F0E"/>
    <w:rsid w:val="00AC26F5"/>
    <w:rsid w:val="00AC3702"/>
    <w:rsid w:val="00AC616F"/>
    <w:rsid w:val="00AC6FC0"/>
    <w:rsid w:val="00AC7774"/>
    <w:rsid w:val="00AD23DE"/>
    <w:rsid w:val="00AD5338"/>
    <w:rsid w:val="00AD626C"/>
    <w:rsid w:val="00AD6B55"/>
    <w:rsid w:val="00AE0464"/>
    <w:rsid w:val="00AE0541"/>
    <w:rsid w:val="00AE22E3"/>
    <w:rsid w:val="00AE5AF9"/>
    <w:rsid w:val="00AE5FDB"/>
    <w:rsid w:val="00AF1A79"/>
    <w:rsid w:val="00AF4F7C"/>
    <w:rsid w:val="00B00349"/>
    <w:rsid w:val="00B00417"/>
    <w:rsid w:val="00B0212C"/>
    <w:rsid w:val="00B02772"/>
    <w:rsid w:val="00B03651"/>
    <w:rsid w:val="00B04CE5"/>
    <w:rsid w:val="00B0756C"/>
    <w:rsid w:val="00B10D19"/>
    <w:rsid w:val="00B166D3"/>
    <w:rsid w:val="00B2171D"/>
    <w:rsid w:val="00B24A6B"/>
    <w:rsid w:val="00B313CE"/>
    <w:rsid w:val="00B32EDE"/>
    <w:rsid w:val="00B3515A"/>
    <w:rsid w:val="00B3676A"/>
    <w:rsid w:val="00B36B1C"/>
    <w:rsid w:val="00B40DEE"/>
    <w:rsid w:val="00B41DE1"/>
    <w:rsid w:val="00B42C22"/>
    <w:rsid w:val="00B43493"/>
    <w:rsid w:val="00B43996"/>
    <w:rsid w:val="00B45178"/>
    <w:rsid w:val="00B4536F"/>
    <w:rsid w:val="00B47255"/>
    <w:rsid w:val="00B53CA3"/>
    <w:rsid w:val="00B62A2E"/>
    <w:rsid w:val="00B655F3"/>
    <w:rsid w:val="00B705C9"/>
    <w:rsid w:val="00B718F0"/>
    <w:rsid w:val="00B72861"/>
    <w:rsid w:val="00B72D8C"/>
    <w:rsid w:val="00B72F76"/>
    <w:rsid w:val="00B74004"/>
    <w:rsid w:val="00B744C9"/>
    <w:rsid w:val="00B76705"/>
    <w:rsid w:val="00B77372"/>
    <w:rsid w:val="00B8446A"/>
    <w:rsid w:val="00B848C3"/>
    <w:rsid w:val="00B8530D"/>
    <w:rsid w:val="00B867C6"/>
    <w:rsid w:val="00B913E0"/>
    <w:rsid w:val="00B926A0"/>
    <w:rsid w:val="00B9356C"/>
    <w:rsid w:val="00B93AA6"/>
    <w:rsid w:val="00B944CD"/>
    <w:rsid w:val="00B95796"/>
    <w:rsid w:val="00B95C34"/>
    <w:rsid w:val="00B95FFF"/>
    <w:rsid w:val="00B9600A"/>
    <w:rsid w:val="00B9681F"/>
    <w:rsid w:val="00B97211"/>
    <w:rsid w:val="00BA15FE"/>
    <w:rsid w:val="00BA4383"/>
    <w:rsid w:val="00BB1F62"/>
    <w:rsid w:val="00BB2AC1"/>
    <w:rsid w:val="00BB383F"/>
    <w:rsid w:val="00BB4693"/>
    <w:rsid w:val="00BB5C29"/>
    <w:rsid w:val="00BB7B01"/>
    <w:rsid w:val="00BC2BDE"/>
    <w:rsid w:val="00BC2DAE"/>
    <w:rsid w:val="00BC6646"/>
    <w:rsid w:val="00BC680E"/>
    <w:rsid w:val="00BC6BA9"/>
    <w:rsid w:val="00BD0077"/>
    <w:rsid w:val="00BD32FD"/>
    <w:rsid w:val="00BD53C1"/>
    <w:rsid w:val="00BD6CAC"/>
    <w:rsid w:val="00BD6E3A"/>
    <w:rsid w:val="00BD6F82"/>
    <w:rsid w:val="00BD70AB"/>
    <w:rsid w:val="00BE0369"/>
    <w:rsid w:val="00BF2D51"/>
    <w:rsid w:val="00BF2DC0"/>
    <w:rsid w:val="00BF61F6"/>
    <w:rsid w:val="00BF7092"/>
    <w:rsid w:val="00C00D11"/>
    <w:rsid w:val="00C02166"/>
    <w:rsid w:val="00C038A4"/>
    <w:rsid w:val="00C06651"/>
    <w:rsid w:val="00C06A65"/>
    <w:rsid w:val="00C12550"/>
    <w:rsid w:val="00C14806"/>
    <w:rsid w:val="00C20396"/>
    <w:rsid w:val="00C204C3"/>
    <w:rsid w:val="00C22F79"/>
    <w:rsid w:val="00C23116"/>
    <w:rsid w:val="00C30187"/>
    <w:rsid w:val="00C34FB9"/>
    <w:rsid w:val="00C3676A"/>
    <w:rsid w:val="00C41B83"/>
    <w:rsid w:val="00C44156"/>
    <w:rsid w:val="00C448AE"/>
    <w:rsid w:val="00C473D7"/>
    <w:rsid w:val="00C52B37"/>
    <w:rsid w:val="00C531E1"/>
    <w:rsid w:val="00C54AD9"/>
    <w:rsid w:val="00C57293"/>
    <w:rsid w:val="00C64488"/>
    <w:rsid w:val="00C73692"/>
    <w:rsid w:val="00C75ECB"/>
    <w:rsid w:val="00C77CAD"/>
    <w:rsid w:val="00C80E75"/>
    <w:rsid w:val="00C817C1"/>
    <w:rsid w:val="00C84047"/>
    <w:rsid w:val="00C938D3"/>
    <w:rsid w:val="00C96A7E"/>
    <w:rsid w:val="00C97C41"/>
    <w:rsid w:val="00C97D88"/>
    <w:rsid w:val="00CA192D"/>
    <w:rsid w:val="00CA1EDB"/>
    <w:rsid w:val="00CA3497"/>
    <w:rsid w:val="00CA45DE"/>
    <w:rsid w:val="00CA6784"/>
    <w:rsid w:val="00CB2B05"/>
    <w:rsid w:val="00CB4FBA"/>
    <w:rsid w:val="00CB7484"/>
    <w:rsid w:val="00CC1812"/>
    <w:rsid w:val="00CC391F"/>
    <w:rsid w:val="00CC3CAD"/>
    <w:rsid w:val="00CC4797"/>
    <w:rsid w:val="00CC4926"/>
    <w:rsid w:val="00CC5095"/>
    <w:rsid w:val="00CC6F95"/>
    <w:rsid w:val="00CD39A2"/>
    <w:rsid w:val="00CD73BD"/>
    <w:rsid w:val="00CE4808"/>
    <w:rsid w:val="00CE6312"/>
    <w:rsid w:val="00CE71B7"/>
    <w:rsid w:val="00CE7500"/>
    <w:rsid w:val="00CE77EC"/>
    <w:rsid w:val="00CF0D8D"/>
    <w:rsid w:val="00CF1677"/>
    <w:rsid w:val="00CF17CB"/>
    <w:rsid w:val="00CF3100"/>
    <w:rsid w:val="00CF5276"/>
    <w:rsid w:val="00CF7387"/>
    <w:rsid w:val="00D0075B"/>
    <w:rsid w:val="00D01482"/>
    <w:rsid w:val="00D02495"/>
    <w:rsid w:val="00D03097"/>
    <w:rsid w:val="00D11154"/>
    <w:rsid w:val="00D11832"/>
    <w:rsid w:val="00D124A6"/>
    <w:rsid w:val="00D14424"/>
    <w:rsid w:val="00D144CE"/>
    <w:rsid w:val="00D1472C"/>
    <w:rsid w:val="00D15F36"/>
    <w:rsid w:val="00D16C8A"/>
    <w:rsid w:val="00D2027B"/>
    <w:rsid w:val="00D20309"/>
    <w:rsid w:val="00D229A6"/>
    <w:rsid w:val="00D251C5"/>
    <w:rsid w:val="00D27DC3"/>
    <w:rsid w:val="00D330B8"/>
    <w:rsid w:val="00D33EA4"/>
    <w:rsid w:val="00D37449"/>
    <w:rsid w:val="00D37E92"/>
    <w:rsid w:val="00D42D58"/>
    <w:rsid w:val="00D465D7"/>
    <w:rsid w:val="00D50277"/>
    <w:rsid w:val="00D50677"/>
    <w:rsid w:val="00D507C4"/>
    <w:rsid w:val="00D51812"/>
    <w:rsid w:val="00D53782"/>
    <w:rsid w:val="00D53BC3"/>
    <w:rsid w:val="00D54FAF"/>
    <w:rsid w:val="00D56C63"/>
    <w:rsid w:val="00D601A7"/>
    <w:rsid w:val="00D614E0"/>
    <w:rsid w:val="00D6232D"/>
    <w:rsid w:val="00D62523"/>
    <w:rsid w:val="00D64694"/>
    <w:rsid w:val="00D651F4"/>
    <w:rsid w:val="00D67FB5"/>
    <w:rsid w:val="00D721D2"/>
    <w:rsid w:val="00D723C0"/>
    <w:rsid w:val="00D74856"/>
    <w:rsid w:val="00D76EB3"/>
    <w:rsid w:val="00D77AA5"/>
    <w:rsid w:val="00D8111D"/>
    <w:rsid w:val="00D852AF"/>
    <w:rsid w:val="00D86ECA"/>
    <w:rsid w:val="00D87178"/>
    <w:rsid w:val="00D90FC1"/>
    <w:rsid w:val="00D91296"/>
    <w:rsid w:val="00D9259F"/>
    <w:rsid w:val="00D9507E"/>
    <w:rsid w:val="00DA18C3"/>
    <w:rsid w:val="00DA1D67"/>
    <w:rsid w:val="00DA41B7"/>
    <w:rsid w:val="00DA421E"/>
    <w:rsid w:val="00DB147E"/>
    <w:rsid w:val="00DB524A"/>
    <w:rsid w:val="00DD448D"/>
    <w:rsid w:val="00DD6900"/>
    <w:rsid w:val="00DD6EE1"/>
    <w:rsid w:val="00DE4464"/>
    <w:rsid w:val="00DE555F"/>
    <w:rsid w:val="00DE5B2D"/>
    <w:rsid w:val="00DE5F42"/>
    <w:rsid w:val="00DF058E"/>
    <w:rsid w:val="00DF1224"/>
    <w:rsid w:val="00DF1B7F"/>
    <w:rsid w:val="00DF4539"/>
    <w:rsid w:val="00DF628C"/>
    <w:rsid w:val="00DF7048"/>
    <w:rsid w:val="00E006E4"/>
    <w:rsid w:val="00E0074B"/>
    <w:rsid w:val="00E00C9E"/>
    <w:rsid w:val="00E0105E"/>
    <w:rsid w:val="00E01380"/>
    <w:rsid w:val="00E1090A"/>
    <w:rsid w:val="00E15746"/>
    <w:rsid w:val="00E169BB"/>
    <w:rsid w:val="00E214C7"/>
    <w:rsid w:val="00E2248E"/>
    <w:rsid w:val="00E23602"/>
    <w:rsid w:val="00E255A2"/>
    <w:rsid w:val="00E279C6"/>
    <w:rsid w:val="00E27D72"/>
    <w:rsid w:val="00E31632"/>
    <w:rsid w:val="00E34A13"/>
    <w:rsid w:val="00E4062A"/>
    <w:rsid w:val="00E438D6"/>
    <w:rsid w:val="00E462B8"/>
    <w:rsid w:val="00E46AD5"/>
    <w:rsid w:val="00E50FD8"/>
    <w:rsid w:val="00E51F69"/>
    <w:rsid w:val="00E526A7"/>
    <w:rsid w:val="00E527C8"/>
    <w:rsid w:val="00E530E2"/>
    <w:rsid w:val="00E5338F"/>
    <w:rsid w:val="00E5532B"/>
    <w:rsid w:val="00E55519"/>
    <w:rsid w:val="00E5776F"/>
    <w:rsid w:val="00E606D6"/>
    <w:rsid w:val="00E60C80"/>
    <w:rsid w:val="00E634B5"/>
    <w:rsid w:val="00E66326"/>
    <w:rsid w:val="00E67346"/>
    <w:rsid w:val="00E72ED0"/>
    <w:rsid w:val="00E73259"/>
    <w:rsid w:val="00E75F5F"/>
    <w:rsid w:val="00E761AF"/>
    <w:rsid w:val="00E820B0"/>
    <w:rsid w:val="00E903B6"/>
    <w:rsid w:val="00E92392"/>
    <w:rsid w:val="00E94A6D"/>
    <w:rsid w:val="00E94CC5"/>
    <w:rsid w:val="00E9768A"/>
    <w:rsid w:val="00EA0A64"/>
    <w:rsid w:val="00EA302F"/>
    <w:rsid w:val="00EA37A9"/>
    <w:rsid w:val="00EA3FFB"/>
    <w:rsid w:val="00EB1C85"/>
    <w:rsid w:val="00EB1D58"/>
    <w:rsid w:val="00EB24FB"/>
    <w:rsid w:val="00EB2F7B"/>
    <w:rsid w:val="00EB4830"/>
    <w:rsid w:val="00EB5A81"/>
    <w:rsid w:val="00EB6125"/>
    <w:rsid w:val="00EC25AC"/>
    <w:rsid w:val="00EC2BC3"/>
    <w:rsid w:val="00EC4738"/>
    <w:rsid w:val="00EC6020"/>
    <w:rsid w:val="00ED0E25"/>
    <w:rsid w:val="00ED1EDD"/>
    <w:rsid w:val="00EE0363"/>
    <w:rsid w:val="00EE4917"/>
    <w:rsid w:val="00EE4E3D"/>
    <w:rsid w:val="00EE5741"/>
    <w:rsid w:val="00EF2D29"/>
    <w:rsid w:val="00EF6492"/>
    <w:rsid w:val="00F0102E"/>
    <w:rsid w:val="00F01733"/>
    <w:rsid w:val="00F02689"/>
    <w:rsid w:val="00F0303E"/>
    <w:rsid w:val="00F03DE1"/>
    <w:rsid w:val="00F04D5A"/>
    <w:rsid w:val="00F06FB6"/>
    <w:rsid w:val="00F07ED9"/>
    <w:rsid w:val="00F11952"/>
    <w:rsid w:val="00F120D3"/>
    <w:rsid w:val="00F120E5"/>
    <w:rsid w:val="00F12DE7"/>
    <w:rsid w:val="00F13DD1"/>
    <w:rsid w:val="00F15477"/>
    <w:rsid w:val="00F17CC1"/>
    <w:rsid w:val="00F20CCE"/>
    <w:rsid w:val="00F24D75"/>
    <w:rsid w:val="00F25059"/>
    <w:rsid w:val="00F30169"/>
    <w:rsid w:val="00F35745"/>
    <w:rsid w:val="00F41F26"/>
    <w:rsid w:val="00F4611D"/>
    <w:rsid w:val="00F46DDC"/>
    <w:rsid w:val="00F514DA"/>
    <w:rsid w:val="00F51FE6"/>
    <w:rsid w:val="00F53201"/>
    <w:rsid w:val="00F532D8"/>
    <w:rsid w:val="00F55A06"/>
    <w:rsid w:val="00F578E5"/>
    <w:rsid w:val="00F72912"/>
    <w:rsid w:val="00F8056D"/>
    <w:rsid w:val="00F8144B"/>
    <w:rsid w:val="00F82324"/>
    <w:rsid w:val="00F826B0"/>
    <w:rsid w:val="00F85081"/>
    <w:rsid w:val="00F85823"/>
    <w:rsid w:val="00F866DA"/>
    <w:rsid w:val="00F9262B"/>
    <w:rsid w:val="00F94934"/>
    <w:rsid w:val="00F965BB"/>
    <w:rsid w:val="00F97336"/>
    <w:rsid w:val="00FA02E3"/>
    <w:rsid w:val="00FA0E29"/>
    <w:rsid w:val="00FA3559"/>
    <w:rsid w:val="00FA3E27"/>
    <w:rsid w:val="00FA6F26"/>
    <w:rsid w:val="00FB0272"/>
    <w:rsid w:val="00FB27A6"/>
    <w:rsid w:val="00FB3412"/>
    <w:rsid w:val="00FB58D6"/>
    <w:rsid w:val="00FB618E"/>
    <w:rsid w:val="00FC3147"/>
    <w:rsid w:val="00FC6988"/>
    <w:rsid w:val="00FD004C"/>
    <w:rsid w:val="00FD0CF2"/>
    <w:rsid w:val="00FD2325"/>
    <w:rsid w:val="00FD41F2"/>
    <w:rsid w:val="00FD4851"/>
    <w:rsid w:val="00FD4A19"/>
    <w:rsid w:val="00FD7CAB"/>
    <w:rsid w:val="00FE08A5"/>
    <w:rsid w:val="00FE2902"/>
    <w:rsid w:val="00FE7B67"/>
    <w:rsid w:val="00FF0EE0"/>
    <w:rsid w:val="00FF2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CC1F6"/>
  <w15:docId w15:val="{F3D103E9-34B7-4DB0-9698-B968AD2E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sz w:val="21"/>
        <w:szCs w:val="21"/>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AE"/>
  </w:style>
  <w:style w:type="paragraph" w:styleId="Heading1">
    <w:name w:val="heading 1"/>
    <w:basedOn w:val="Normal"/>
    <w:next w:val="Normal"/>
    <w:link w:val="Heading1Char"/>
    <w:uiPriority w:val="9"/>
    <w:qFormat/>
    <w:rsid w:val="003623DB"/>
    <w:pPr>
      <w:keepNext/>
      <w:keepLines/>
      <w:spacing w:before="340" w:after="330" w:line="578" w:lineRule="auto"/>
      <w:outlineLvl w:val="0"/>
    </w:pPr>
    <w:rPr>
      <w:b/>
      <w:bCs/>
      <w:kern w:val="44"/>
      <w:sz w:val="44"/>
      <w:szCs w:val="44"/>
    </w:rPr>
  </w:style>
  <w:style w:type="paragraph" w:styleId="Heading2">
    <w:name w:val="heading 2"/>
    <w:aliases w:val="H2,Heading 2 CCBS,Heading 2 Hidden"/>
    <w:basedOn w:val="Normal"/>
    <w:next w:val="Normal"/>
    <w:link w:val="Heading2Char"/>
    <w:qFormat/>
    <w:rsid w:val="003623DB"/>
    <w:pPr>
      <w:keepNext/>
      <w:keepLines/>
      <w:spacing w:before="260" w:after="260" w:line="416" w:lineRule="auto"/>
      <w:outlineLvl w:val="1"/>
    </w:pPr>
    <w:rPr>
      <w:rFonts w:ascii="Arial" w:eastAsia="黑体" w:hAnsi="Arial"/>
      <w:b/>
      <w:bCs/>
      <w:sz w:val="32"/>
      <w:szCs w:val="32"/>
    </w:rPr>
  </w:style>
  <w:style w:type="paragraph" w:styleId="Heading3">
    <w:name w:val="heading 3"/>
    <w:aliases w:val="Chapter X.X.X.,标题样式1"/>
    <w:basedOn w:val="Normal"/>
    <w:next w:val="NormalIndent"/>
    <w:link w:val="Heading3Char"/>
    <w:qFormat/>
    <w:rsid w:val="00735AE1"/>
    <w:pPr>
      <w:keepNext/>
      <w:keepLines/>
      <w:spacing w:before="260" w:after="260" w:line="360" w:lineRule="auto"/>
      <w:jc w:val="center"/>
      <w:outlineLvl w:val="2"/>
    </w:pPr>
    <w:rPr>
      <w:rFonts w:ascii="宋体"/>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uiPriority w:val="1"/>
    <w:rsid w:val="00836ABA"/>
    <w:pPr>
      <w:widowControl w:val="0"/>
    </w:pPr>
    <w:rPr>
      <w:szCs w:val="24"/>
    </w:rPr>
  </w:style>
  <w:style w:type="paragraph" w:customStyle="1" w:styleId="a0">
    <w:rsid w:val="00E30B69"/>
    <w:pPr>
      <w:widowControl w:val="0"/>
    </w:pPr>
    <w:rPr>
      <w:kern w:val="2"/>
      <w:szCs w:val="24"/>
    </w:rPr>
  </w:style>
  <w:style w:type="paragraph" w:customStyle="1" w:styleId="a1">
    <w:basedOn w:val="a2"/>
    <w:next w:val="a2"/>
    <w:link w:val="a3"/>
    <w:rsid w:val="00E30B69"/>
    <w:pPr>
      <w:keepNext/>
      <w:keepLines/>
      <w:spacing w:before="260" w:after="260" w:line="416" w:lineRule="auto"/>
      <w:outlineLvl w:val="2"/>
    </w:pPr>
    <w:rPr>
      <w:b/>
      <w:bCs/>
      <w:sz w:val="32"/>
      <w:szCs w:val="32"/>
    </w:rPr>
  </w:style>
  <w:style w:type="character" w:customStyle="1" w:styleId="a3">
    <w:basedOn w:val="a4"/>
    <w:link w:val="a1"/>
    <w:rsid w:val="00E30B69"/>
    <w:rPr>
      <w:b/>
      <w:bCs/>
      <w:kern w:val="2"/>
      <w:sz w:val="32"/>
      <w:szCs w:val="32"/>
    </w:rPr>
  </w:style>
  <w:style w:type="paragraph" w:customStyle="1" w:styleId="a5">
    <w:rsid w:val="00E30B69"/>
    <w:pPr>
      <w:widowControl w:val="0"/>
      <w:autoSpaceDE w:val="0"/>
      <w:autoSpaceDN w:val="0"/>
      <w:adjustRightInd w:val="0"/>
    </w:pPr>
    <w:rPr>
      <w:rFonts w:ascii="仿宋" w:hAnsi="仿宋" w:cs="仿宋"/>
      <w:color w:val="000000"/>
      <w:sz w:val="24"/>
      <w:szCs w:val="24"/>
    </w:rPr>
  </w:style>
  <w:style w:type="paragraph" w:customStyle="1" w:styleId="a2">
    <w:rsid w:val="00E30B69"/>
    <w:rPr>
      <w:kern w:val="2"/>
      <w:szCs w:val="24"/>
    </w:rPr>
  </w:style>
  <w:style w:type="character" w:customStyle="1" w:styleId="a4">
    <w:uiPriority w:val="1"/>
    <w:semiHidden/>
    <w:unhideWhenUsed/>
  </w:style>
  <w:style w:type="table" w:customStyle="1" w:styleId="a6">
    <w:uiPriority w:val="99"/>
    <w:semiHidden/>
    <w:unhideWhenUsed/>
    <w:tblPr>
      <w:tblInd w:w="0" w:type="dxa"/>
      <w:tblCellMar>
        <w:top w:w="0" w:type="dxa"/>
        <w:left w:w="108" w:type="dxa"/>
        <w:bottom w:w="0" w:type="dxa"/>
        <w:right w:w="108" w:type="dxa"/>
      </w:tblCellMar>
    </w:tblPr>
  </w:style>
  <w:style w:type="table" w:customStyle="1" w:styleId="a7">
    <w:basedOn w:val="a6"/>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0">
    <w:name w:val="a4"/>
    <w:uiPriority w:val="1"/>
    <w:rsid w:val="00836ABA"/>
    <w:pPr>
      <w:widowControl w:val="0"/>
    </w:pPr>
    <w:rPr>
      <w:szCs w:val="24"/>
    </w:rPr>
  </w:style>
  <w:style w:type="paragraph" w:customStyle="1" w:styleId="a50">
    <w:name w:val="a5"/>
    <w:rsid w:val="00E30B69"/>
    <w:pPr>
      <w:widowControl w:val="0"/>
    </w:pPr>
    <w:rPr>
      <w:kern w:val="2"/>
      <w:szCs w:val="24"/>
    </w:rPr>
  </w:style>
  <w:style w:type="paragraph" w:customStyle="1" w:styleId="a60">
    <w:name w:val="a6"/>
    <w:basedOn w:val="a70"/>
    <w:next w:val="a70"/>
    <w:link w:val="a8"/>
    <w:rsid w:val="00E30B69"/>
    <w:pPr>
      <w:keepNext/>
      <w:keepLines/>
      <w:spacing w:before="260" w:after="260" w:line="416" w:lineRule="auto"/>
      <w:outlineLvl w:val="2"/>
    </w:pPr>
    <w:rPr>
      <w:b/>
      <w:bCs/>
      <w:sz w:val="32"/>
      <w:szCs w:val="32"/>
    </w:rPr>
  </w:style>
  <w:style w:type="character" w:customStyle="1" w:styleId="a8">
    <w:name w:val="a8"/>
    <w:basedOn w:val="a9"/>
    <w:link w:val="a60"/>
    <w:rsid w:val="00E30B69"/>
    <w:rPr>
      <w:b/>
      <w:bCs/>
      <w:kern w:val="2"/>
      <w:sz w:val="32"/>
      <w:szCs w:val="32"/>
    </w:rPr>
  </w:style>
  <w:style w:type="paragraph" w:customStyle="1" w:styleId="aa">
    <w:name w:val="aa"/>
    <w:rsid w:val="00E30B69"/>
    <w:pPr>
      <w:widowControl w:val="0"/>
      <w:autoSpaceDE w:val="0"/>
      <w:autoSpaceDN w:val="0"/>
      <w:adjustRightInd w:val="0"/>
    </w:pPr>
    <w:rPr>
      <w:rFonts w:ascii="仿宋" w:hAnsi="仿宋" w:cs="仿宋"/>
      <w:color w:val="000000"/>
      <w:sz w:val="24"/>
      <w:szCs w:val="24"/>
    </w:rPr>
  </w:style>
  <w:style w:type="paragraph" w:customStyle="1" w:styleId="a70">
    <w:name w:val="a7"/>
    <w:rsid w:val="00E30B69"/>
    <w:rPr>
      <w:kern w:val="2"/>
      <w:szCs w:val="24"/>
    </w:rPr>
  </w:style>
  <w:style w:type="character" w:customStyle="1" w:styleId="a9">
    <w:name w:val="a9"/>
    <w:uiPriority w:val="1"/>
    <w:semiHidden/>
    <w:unhideWhenUsed/>
  </w:style>
  <w:style w:type="table" w:customStyle="1" w:styleId="ab">
    <w:name w:val="ab"/>
    <w:uiPriority w:val="99"/>
    <w:semiHidden/>
    <w:unhideWhenUsed/>
    <w:tblPr>
      <w:tblInd w:w="0" w:type="dxa"/>
      <w:tblCellMar>
        <w:top w:w="0" w:type="dxa"/>
        <w:left w:w="108" w:type="dxa"/>
        <w:bottom w:w="0" w:type="dxa"/>
        <w:right w:w="108" w:type="dxa"/>
      </w:tblCellMar>
    </w:tblPr>
  </w:style>
  <w:style w:type="table" w:customStyle="1" w:styleId="ac">
    <w:name w:val="ac"/>
    <w:basedOn w:val="ab"/>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ad"/>
    <w:rsid w:val="00E30B69"/>
    <w:pPr>
      <w:widowControl w:val="0"/>
    </w:pPr>
    <w:rPr>
      <w:kern w:val="2"/>
      <w:szCs w:val="24"/>
    </w:rPr>
  </w:style>
  <w:style w:type="paragraph" w:customStyle="1" w:styleId="ae">
    <w:name w:val="ae"/>
    <w:basedOn w:val="af"/>
    <w:next w:val="af"/>
    <w:link w:val="af0"/>
    <w:rsid w:val="00E30B69"/>
    <w:pPr>
      <w:keepNext/>
      <w:keepLines/>
      <w:spacing w:before="260" w:after="260" w:line="416" w:lineRule="auto"/>
      <w:outlineLvl w:val="2"/>
    </w:pPr>
    <w:rPr>
      <w:b/>
      <w:bCs/>
      <w:sz w:val="32"/>
      <w:szCs w:val="32"/>
    </w:rPr>
  </w:style>
  <w:style w:type="character" w:customStyle="1" w:styleId="af0">
    <w:name w:val="af0"/>
    <w:basedOn w:val="af1"/>
    <w:link w:val="ae"/>
    <w:rsid w:val="00E30B69"/>
    <w:rPr>
      <w:b/>
      <w:bCs/>
      <w:kern w:val="2"/>
      <w:sz w:val="32"/>
      <w:szCs w:val="32"/>
    </w:rPr>
  </w:style>
  <w:style w:type="paragraph" w:customStyle="1" w:styleId="af2">
    <w:name w:val="af2"/>
    <w:rsid w:val="00E30B69"/>
    <w:pPr>
      <w:widowControl w:val="0"/>
      <w:autoSpaceDE w:val="0"/>
      <w:autoSpaceDN w:val="0"/>
      <w:adjustRightInd w:val="0"/>
    </w:pPr>
    <w:rPr>
      <w:rFonts w:ascii="仿宋" w:hAnsi="仿宋" w:cs="仿宋"/>
      <w:color w:val="000000"/>
      <w:sz w:val="24"/>
      <w:szCs w:val="24"/>
    </w:rPr>
  </w:style>
  <w:style w:type="paragraph" w:customStyle="1" w:styleId="af">
    <w:name w:val="af"/>
    <w:rsid w:val="00E30B69"/>
    <w:rPr>
      <w:kern w:val="2"/>
      <w:szCs w:val="24"/>
    </w:rPr>
  </w:style>
  <w:style w:type="character" w:customStyle="1" w:styleId="af1">
    <w:name w:val="af1"/>
    <w:uiPriority w:val="1"/>
    <w:semiHidden/>
    <w:unhideWhenUsed/>
  </w:style>
  <w:style w:type="table" w:customStyle="1" w:styleId="af3">
    <w:name w:val="af3"/>
    <w:uiPriority w:val="99"/>
    <w:semiHidden/>
    <w:unhideWhenUsed/>
    <w:tblPr>
      <w:tblInd w:w="0" w:type="dxa"/>
      <w:tblCellMar>
        <w:top w:w="0" w:type="dxa"/>
        <w:left w:w="108" w:type="dxa"/>
        <w:bottom w:w="0" w:type="dxa"/>
        <w:right w:w="108" w:type="dxa"/>
      </w:tblCellMar>
    </w:tblPr>
  </w:style>
  <w:style w:type="table" w:customStyle="1" w:styleId="af4">
    <w:name w:val="af4"/>
    <w:basedOn w:val="af3"/>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af5"/>
    <w:uiPriority w:val="1"/>
    <w:rsid w:val="00836ABA"/>
    <w:pPr>
      <w:widowControl w:val="0"/>
    </w:pPr>
    <w:rPr>
      <w:szCs w:val="24"/>
    </w:rPr>
  </w:style>
  <w:style w:type="paragraph" w:customStyle="1" w:styleId="a400">
    <w:name w:val="a4_0"/>
    <w:uiPriority w:val="1"/>
    <w:rsid w:val="00836ABA"/>
    <w:pPr>
      <w:widowControl w:val="0"/>
    </w:pPr>
    <w:rPr>
      <w:szCs w:val="24"/>
    </w:rPr>
  </w:style>
  <w:style w:type="paragraph" w:customStyle="1" w:styleId="a500">
    <w:name w:val="a5_0"/>
    <w:rsid w:val="00E30B69"/>
    <w:pPr>
      <w:widowControl w:val="0"/>
    </w:pPr>
    <w:rPr>
      <w:kern w:val="2"/>
      <w:szCs w:val="24"/>
    </w:rPr>
  </w:style>
  <w:style w:type="paragraph" w:customStyle="1" w:styleId="a600">
    <w:name w:val="a6_0"/>
    <w:basedOn w:val="a700"/>
    <w:next w:val="a700"/>
    <w:link w:val="a80"/>
    <w:rsid w:val="00E30B69"/>
    <w:pPr>
      <w:keepNext/>
      <w:keepLines/>
      <w:spacing w:before="260" w:after="260" w:line="416" w:lineRule="auto"/>
      <w:outlineLvl w:val="2"/>
    </w:pPr>
    <w:rPr>
      <w:b/>
      <w:bCs/>
      <w:sz w:val="32"/>
      <w:szCs w:val="32"/>
    </w:rPr>
  </w:style>
  <w:style w:type="character" w:customStyle="1" w:styleId="a80">
    <w:name w:val="a8_0"/>
    <w:basedOn w:val="a90"/>
    <w:link w:val="a600"/>
    <w:rsid w:val="00E30B69"/>
    <w:rPr>
      <w:b/>
      <w:bCs/>
      <w:kern w:val="2"/>
      <w:sz w:val="32"/>
      <w:szCs w:val="32"/>
    </w:rPr>
  </w:style>
  <w:style w:type="paragraph" w:customStyle="1" w:styleId="aa0">
    <w:name w:val="aa_0"/>
    <w:rsid w:val="00E30B69"/>
    <w:pPr>
      <w:widowControl w:val="0"/>
      <w:autoSpaceDE w:val="0"/>
      <w:autoSpaceDN w:val="0"/>
      <w:adjustRightInd w:val="0"/>
    </w:pPr>
    <w:rPr>
      <w:rFonts w:ascii="仿宋" w:hAnsi="仿宋" w:cs="仿宋"/>
      <w:color w:val="000000"/>
      <w:sz w:val="24"/>
      <w:szCs w:val="24"/>
    </w:rPr>
  </w:style>
  <w:style w:type="paragraph" w:customStyle="1" w:styleId="a700">
    <w:name w:val="a7_0"/>
    <w:rsid w:val="00E30B69"/>
    <w:rPr>
      <w:kern w:val="2"/>
      <w:szCs w:val="24"/>
    </w:rPr>
  </w:style>
  <w:style w:type="character" w:customStyle="1" w:styleId="a90">
    <w:name w:val="a9_0"/>
    <w:uiPriority w:val="1"/>
    <w:semiHidden/>
    <w:unhideWhenUsed/>
  </w:style>
  <w:style w:type="table" w:customStyle="1" w:styleId="ab0">
    <w:name w:val="ab_0"/>
    <w:uiPriority w:val="99"/>
    <w:semiHidden/>
    <w:unhideWhenUsed/>
    <w:tblPr>
      <w:tblInd w:w="0" w:type="dxa"/>
      <w:tblCellMar>
        <w:top w:w="0" w:type="dxa"/>
        <w:left w:w="108" w:type="dxa"/>
        <w:bottom w:w="0" w:type="dxa"/>
        <w:right w:w="108" w:type="dxa"/>
      </w:tblCellMar>
    </w:tblPr>
  </w:style>
  <w:style w:type="table" w:customStyle="1" w:styleId="ac0">
    <w:name w:val="ac_0"/>
    <w:basedOn w:val="ab0"/>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0">
    <w:name w:val="ad_0"/>
    <w:rsid w:val="00E30B69"/>
    <w:pPr>
      <w:widowControl w:val="0"/>
    </w:pPr>
    <w:rPr>
      <w:kern w:val="2"/>
      <w:szCs w:val="24"/>
    </w:rPr>
  </w:style>
  <w:style w:type="paragraph" w:customStyle="1" w:styleId="ae0">
    <w:name w:val="ae_0"/>
    <w:basedOn w:val="af00"/>
    <w:next w:val="af00"/>
    <w:link w:val="af000"/>
    <w:rsid w:val="00E30B69"/>
    <w:pPr>
      <w:keepNext/>
      <w:keepLines/>
      <w:spacing w:before="260" w:after="260" w:line="416" w:lineRule="auto"/>
      <w:outlineLvl w:val="2"/>
    </w:pPr>
    <w:rPr>
      <w:b/>
      <w:bCs/>
      <w:sz w:val="32"/>
      <w:szCs w:val="32"/>
    </w:rPr>
  </w:style>
  <w:style w:type="character" w:customStyle="1" w:styleId="af000">
    <w:name w:val="af0_0"/>
    <w:basedOn w:val="af10"/>
    <w:link w:val="ae0"/>
    <w:rsid w:val="00E30B69"/>
    <w:rPr>
      <w:b/>
      <w:bCs/>
      <w:kern w:val="2"/>
      <w:sz w:val="32"/>
      <w:szCs w:val="32"/>
    </w:rPr>
  </w:style>
  <w:style w:type="paragraph" w:customStyle="1" w:styleId="af20">
    <w:name w:val="af2_0"/>
    <w:rsid w:val="00E30B69"/>
    <w:pPr>
      <w:widowControl w:val="0"/>
      <w:autoSpaceDE w:val="0"/>
      <w:autoSpaceDN w:val="0"/>
      <w:adjustRightInd w:val="0"/>
    </w:pPr>
    <w:rPr>
      <w:rFonts w:ascii="仿宋" w:hAnsi="仿宋" w:cs="仿宋"/>
      <w:color w:val="000000"/>
      <w:sz w:val="24"/>
      <w:szCs w:val="24"/>
    </w:rPr>
  </w:style>
  <w:style w:type="paragraph" w:customStyle="1" w:styleId="af00">
    <w:name w:val="af_0"/>
    <w:rsid w:val="00E30B69"/>
    <w:rPr>
      <w:kern w:val="2"/>
      <w:szCs w:val="24"/>
    </w:rPr>
  </w:style>
  <w:style w:type="character" w:customStyle="1" w:styleId="af10">
    <w:name w:val="af1_0"/>
    <w:uiPriority w:val="1"/>
    <w:semiHidden/>
    <w:unhideWhenUsed/>
    <w:rsid w:val="00F35745"/>
  </w:style>
  <w:style w:type="table" w:customStyle="1" w:styleId="af30">
    <w:name w:val="af3_0"/>
    <w:uiPriority w:val="99"/>
    <w:semiHidden/>
    <w:unhideWhenUsed/>
    <w:rsid w:val="00F35745"/>
    <w:tblPr>
      <w:tblInd w:w="0" w:type="dxa"/>
      <w:tblCellMar>
        <w:top w:w="0" w:type="dxa"/>
        <w:left w:w="108" w:type="dxa"/>
        <w:bottom w:w="0" w:type="dxa"/>
        <w:right w:w="108" w:type="dxa"/>
      </w:tblCellMar>
    </w:tblPr>
  </w:style>
  <w:style w:type="table" w:customStyle="1" w:styleId="af40">
    <w:name w:val="af4_0"/>
    <w:basedOn w:val="af30"/>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623DB"/>
    <w:rPr>
      <w:rFonts w:ascii="Times New Roman" w:hAnsi="Times New Roman"/>
      <w:b/>
      <w:bCs/>
      <w:kern w:val="44"/>
      <w:sz w:val="44"/>
      <w:szCs w:val="44"/>
    </w:rPr>
  </w:style>
  <w:style w:type="character" w:customStyle="1" w:styleId="Heading2Char">
    <w:name w:val="Heading 2 Char"/>
    <w:aliases w:val="H2 Char,Heading 2 CCBS Char,Heading 2 Hidden Char"/>
    <w:link w:val="Heading2"/>
    <w:rsid w:val="003623DB"/>
    <w:rPr>
      <w:rFonts w:ascii="Arial" w:eastAsia="黑体" w:hAnsi="Arial"/>
      <w:b/>
      <w:bCs/>
      <w:kern w:val="2"/>
      <w:sz w:val="32"/>
      <w:szCs w:val="32"/>
    </w:rPr>
  </w:style>
  <w:style w:type="paragraph" w:styleId="NormalIndent">
    <w:name w:val="Normal Indent"/>
    <w:aliases w:val="ALT+Z,正文缩进1,正文缩进11,正文缩进2,正文缩进21,正文非缩进,段1,特点,表正文"/>
    <w:basedOn w:val="Normal"/>
    <w:unhideWhenUsed/>
    <w:rsid w:val="00735AE1"/>
    <w:pPr>
      <w:ind w:firstLineChars="200" w:firstLine="420"/>
    </w:pPr>
  </w:style>
  <w:style w:type="character" w:customStyle="1" w:styleId="Heading3Char">
    <w:name w:val="Heading 3 Char"/>
    <w:aliases w:val="Chapter X.X.X. Char,标题样式1 Char"/>
    <w:link w:val="Heading3"/>
    <w:rsid w:val="00735AE1"/>
    <w:rPr>
      <w:rFonts w:ascii="宋体" w:hAnsi="Times New Roman"/>
      <w:b/>
      <w:kern w:val="2"/>
      <w:sz w:val="21"/>
    </w:rPr>
  </w:style>
  <w:style w:type="paragraph" w:styleId="Date">
    <w:name w:val="Date"/>
    <w:basedOn w:val="Normal"/>
    <w:next w:val="Normal"/>
    <w:link w:val="DateChar"/>
    <w:uiPriority w:val="99"/>
    <w:semiHidden/>
    <w:unhideWhenUsed/>
    <w:rsid w:val="005F51AE"/>
    <w:pPr>
      <w:ind w:leftChars="2500" w:left="100"/>
    </w:pPr>
    <w:rPr>
      <w:sz w:val="20"/>
    </w:rPr>
  </w:style>
  <w:style w:type="character" w:customStyle="1" w:styleId="DateChar">
    <w:name w:val="Date Char"/>
    <w:link w:val="Date"/>
    <w:uiPriority w:val="99"/>
    <w:semiHidden/>
    <w:rsid w:val="005F51AE"/>
    <w:rPr>
      <w:rFonts w:ascii="Times New Roman" w:eastAsia="宋体" w:hAnsi="Times New Roman" w:cs="Times New Roman"/>
      <w:szCs w:val="20"/>
    </w:rPr>
  </w:style>
  <w:style w:type="paragraph" w:customStyle="1" w:styleId="af6">
    <w:name w:val="正文所"/>
    <w:basedOn w:val="Normal"/>
    <w:rsid w:val="005F51AE"/>
    <w:pPr>
      <w:spacing w:line="360" w:lineRule="auto"/>
      <w:ind w:firstLineChars="200" w:firstLine="420"/>
    </w:pPr>
    <w:rPr>
      <w:rFonts w:ascii="宋体"/>
    </w:rPr>
  </w:style>
  <w:style w:type="paragraph" w:customStyle="1" w:styleId="Default">
    <w:name w:val="Default"/>
    <w:rsid w:val="00AE22E3"/>
    <w:pPr>
      <w:widowControl w:val="0"/>
      <w:autoSpaceDE w:val="0"/>
      <w:autoSpaceDN w:val="0"/>
      <w:adjustRightInd w:val="0"/>
    </w:pPr>
    <w:rPr>
      <w:rFonts w:ascii="宋体" w:cs="宋体"/>
      <w:color w:val="000000"/>
      <w:sz w:val="24"/>
      <w:szCs w:val="24"/>
    </w:rPr>
  </w:style>
  <w:style w:type="paragraph" w:styleId="Header">
    <w:name w:val="header"/>
    <w:basedOn w:val="Normal"/>
    <w:link w:val="HeaderChar"/>
    <w:uiPriority w:val="99"/>
    <w:unhideWhenUsed/>
    <w:rsid w:val="00187B0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187B0D"/>
    <w:rPr>
      <w:rFonts w:ascii="Times New Roman" w:hAnsi="Times New Roman"/>
      <w:kern w:val="2"/>
      <w:sz w:val="18"/>
      <w:szCs w:val="18"/>
    </w:rPr>
  </w:style>
  <w:style w:type="paragraph" w:styleId="Footer">
    <w:name w:val="footer"/>
    <w:basedOn w:val="Normal"/>
    <w:link w:val="FooterChar"/>
    <w:uiPriority w:val="99"/>
    <w:unhideWhenUsed/>
    <w:rsid w:val="00187B0D"/>
    <w:pPr>
      <w:tabs>
        <w:tab w:val="center" w:pos="4153"/>
        <w:tab w:val="right" w:pos="8306"/>
      </w:tabs>
      <w:snapToGrid w:val="0"/>
      <w:jc w:val="left"/>
    </w:pPr>
    <w:rPr>
      <w:sz w:val="18"/>
      <w:szCs w:val="18"/>
    </w:rPr>
  </w:style>
  <w:style w:type="character" w:customStyle="1" w:styleId="FooterChar">
    <w:name w:val="Footer Char"/>
    <w:link w:val="Footer"/>
    <w:uiPriority w:val="99"/>
    <w:rsid w:val="00187B0D"/>
    <w:rPr>
      <w:rFonts w:ascii="Times New Roman" w:hAnsi="Times New Roman"/>
      <w:kern w:val="2"/>
      <w:sz w:val="18"/>
      <w:szCs w:val="18"/>
    </w:rPr>
  </w:style>
  <w:style w:type="paragraph" w:styleId="TOC1">
    <w:name w:val="toc 1"/>
    <w:basedOn w:val="Normal"/>
    <w:next w:val="Normal"/>
    <w:autoRedefine/>
    <w:uiPriority w:val="39"/>
    <w:qFormat/>
    <w:rsid w:val="00187B0D"/>
    <w:pPr>
      <w:tabs>
        <w:tab w:val="right" w:leader="dot" w:pos="8302"/>
      </w:tabs>
      <w:spacing w:beforeLines="100" w:line="360" w:lineRule="auto"/>
    </w:pPr>
    <w:rPr>
      <w:szCs w:val="24"/>
    </w:rPr>
  </w:style>
  <w:style w:type="paragraph" w:styleId="BodyTextIndent2">
    <w:name w:val="Body Text Indent 2"/>
    <w:basedOn w:val="Normal"/>
    <w:link w:val="BodyTextIndent2Char"/>
    <w:semiHidden/>
    <w:rsid w:val="0081561B"/>
    <w:pPr>
      <w:spacing w:line="360" w:lineRule="auto"/>
      <w:ind w:firstLine="425"/>
    </w:pPr>
    <w:rPr>
      <w:rFonts w:ascii="仿宋_GB2312" w:eastAsia="仿宋_GB2312"/>
      <w:sz w:val="28"/>
    </w:rPr>
  </w:style>
  <w:style w:type="character" w:customStyle="1" w:styleId="BodyTextIndent2Char">
    <w:name w:val="Body Text Indent 2 Char"/>
    <w:link w:val="BodyTextIndent2"/>
    <w:semiHidden/>
    <w:rsid w:val="0081561B"/>
    <w:rPr>
      <w:rFonts w:ascii="仿宋_GB2312" w:eastAsia="仿宋_GB2312" w:hAnsi="Times New Roman"/>
      <w:kern w:val="2"/>
      <w:sz w:val="28"/>
    </w:rPr>
  </w:style>
  <w:style w:type="paragraph" w:customStyle="1" w:styleId="CharCharCharChar1">
    <w:name w:val="Char Char Char Char1"/>
    <w:basedOn w:val="Normal"/>
    <w:rsid w:val="0081561B"/>
  </w:style>
  <w:style w:type="character" w:customStyle="1" w:styleId="read">
    <w:name w:val="read"/>
    <w:basedOn w:val="DefaultParagraphFont"/>
    <w:rsid w:val="0081561B"/>
  </w:style>
  <w:style w:type="paragraph" w:styleId="TOC3">
    <w:name w:val="toc 3"/>
    <w:basedOn w:val="Normal"/>
    <w:next w:val="Normal"/>
    <w:autoRedefine/>
    <w:uiPriority w:val="39"/>
    <w:unhideWhenUsed/>
    <w:rsid w:val="00E51F69"/>
    <w:pPr>
      <w:tabs>
        <w:tab w:val="right" w:leader="dot" w:pos="8296"/>
      </w:tabs>
      <w:spacing w:line="360" w:lineRule="auto"/>
      <w:ind w:leftChars="67" w:left="141" w:firstLine="1"/>
    </w:pPr>
  </w:style>
  <w:style w:type="character" w:styleId="Hyperlink">
    <w:name w:val="Hyperlink"/>
    <w:uiPriority w:val="99"/>
    <w:unhideWhenUsed/>
    <w:rsid w:val="00E55519"/>
    <w:rPr>
      <w:color w:val="0000FF"/>
      <w:u w:val="single"/>
    </w:rPr>
  </w:style>
  <w:style w:type="paragraph" w:styleId="ListParagraph">
    <w:name w:val="List Paragraph"/>
    <w:basedOn w:val="Normal"/>
    <w:uiPriority w:val="1"/>
    <w:qFormat/>
    <w:rsid w:val="003623DB"/>
    <w:pPr>
      <w:ind w:firstLineChars="200" w:firstLine="420"/>
    </w:pPr>
  </w:style>
  <w:style w:type="paragraph" w:styleId="PlainText">
    <w:name w:val="Plain Text"/>
    <w:basedOn w:val="Normal"/>
    <w:link w:val="PlainTextChar"/>
    <w:rsid w:val="003623DB"/>
    <w:pPr>
      <w:adjustRightInd w:val="0"/>
      <w:spacing w:line="360" w:lineRule="atLeast"/>
      <w:textAlignment w:val="baseline"/>
    </w:pPr>
    <w:rPr>
      <w:rFonts w:ascii="宋体" w:hAnsi="Courier New"/>
    </w:rPr>
  </w:style>
  <w:style w:type="character" w:customStyle="1" w:styleId="PlainTextChar">
    <w:name w:val="Plain Text Char"/>
    <w:link w:val="PlainText"/>
    <w:rsid w:val="003623DB"/>
    <w:rPr>
      <w:rFonts w:ascii="宋体" w:hAnsi="Courier New"/>
      <w:kern w:val="2"/>
      <w:sz w:val="21"/>
    </w:rPr>
  </w:style>
  <w:style w:type="paragraph" w:styleId="BodyTextIndent">
    <w:name w:val="Body Text Indent"/>
    <w:basedOn w:val="Normal"/>
    <w:link w:val="BodyTextIndentChar"/>
    <w:uiPriority w:val="99"/>
    <w:semiHidden/>
    <w:unhideWhenUsed/>
    <w:rsid w:val="003623DB"/>
    <w:pPr>
      <w:spacing w:after="120"/>
      <w:ind w:leftChars="200" w:left="420"/>
    </w:pPr>
  </w:style>
  <w:style w:type="character" w:customStyle="1" w:styleId="BodyTextIndentChar">
    <w:name w:val="Body Text Indent Char"/>
    <w:link w:val="BodyTextIndent"/>
    <w:uiPriority w:val="99"/>
    <w:semiHidden/>
    <w:rsid w:val="003623DB"/>
    <w:rPr>
      <w:rFonts w:ascii="Times New Roman" w:hAnsi="Times New Roman"/>
      <w:kern w:val="2"/>
      <w:sz w:val="21"/>
    </w:rPr>
  </w:style>
  <w:style w:type="paragraph" w:styleId="DocumentMap">
    <w:name w:val="Document Map"/>
    <w:basedOn w:val="Normal"/>
    <w:link w:val="DocumentMapChar"/>
    <w:semiHidden/>
    <w:rsid w:val="002C372A"/>
    <w:pPr>
      <w:shd w:val="clear" w:color="auto" w:fill="000080"/>
    </w:pPr>
  </w:style>
  <w:style w:type="paragraph" w:styleId="BalloonText">
    <w:name w:val="Balloon Text"/>
    <w:basedOn w:val="Normal"/>
    <w:link w:val="BalloonTextChar"/>
    <w:uiPriority w:val="99"/>
    <w:semiHidden/>
    <w:rsid w:val="002C372A"/>
    <w:rPr>
      <w:sz w:val="18"/>
      <w:szCs w:val="18"/>
    </w:rPr>
  </w:style>
  <w:style w:type="character" w:styleId="CommentReference">
    <w:name w:val="annotation reference"/>
    <w:semiHidden/>
    <w:rsid w:val="00A9312E"/>
    <w:rPr>
      <w:sz w:val="21"/>
      <w:szCs w:val="21"/>
    </w:rPr>
  </w:style>
  <w:style w:type="paragraph" w:styleId="CommentText">
    <w:name w:val="annotation text"/>
    <w:basedOn w:val="Normal"/>
    <w:link w:val="CommentTextChar"/>
    <w:semiHidden/>
    <w:rsid w:val="00A9312E"/>
    <w:pPr>
      <w:jc w:val="left"/>
    </w:pPr>
  </w:style>
  <w:style w:type="paragraph" w:styleId="CommentSubject">
    <w:name w:val="annotation subject"/>
    <w:basedOn w:val="CommentText"/>
    <w:next w:val="CommentText"/>
    <w:link w:val="CommentSubjectChar"/>
    <w:semiHidden/>
    <w:rsid w:val="00A9312E"/>
    <w:rPr>
      <w:b/>
      <w:bCs/>
    </w:rPr>
  </w:style>
  <w:style w:type="paragraph" w:customStyle="1" w:styleId="Char">
    <w:name w:val="Char"/>
    <w:basedOn w:val="Normal"/>
    <w:rsid w:val="00A153E0"/>
    <w:rPr>
      <w:szCs w:val="24"/>
    </w:rPr>
  </w:style>
  <w:style w:type="paragraph" w:customStyle="1" w:styleId="CharCharCharCharCharChar1CharCharChar">
    <w:name w:val="Char Char Char Char Char Char1 Char Char Char"/>
    <w:basedOn w:val="Normal"/>
    <w:rsid w:val="00D76EB3"/>
    <w:pPr>
      <w:autoSpaceDE w:val="0"/>
      <w:autoSpaceDN w:val="0"/>
      <w:adjustRightInd w:val="0"/>
      <w:jc w:val="left"/>
      <w:textAlignment w:val="baseline"/>
    </w:pPr>
    <w:rPr>
      <w:rFonts w:ascii="宋体"/>
      <w:sz w:val="34"/>
    </w:rPr>
  </w:style>
  <w:style w:type="character" w:customStyle="1" w:styleId="apple-style-span">
    <w:name w:val="apple-style-span"/>
    <w:basedOn w:val="DefaultParagraphFont"/>
    <w:rsid w:val="002D0C68"/>
  </w:style>
  <w:style w:type="paragraph" w:styleId="Revision">
    <w:name w:val="Revision"/>
    <w:hidden/>
    <w:uiPriority w:val="99"/>
    <w:semiHidden/>
    <w:rsid w:val="004C3566"/>
    <w:rPr>
      <w:kern w:val="2"/>
    </w:rPr>
  </w:style>
  <w:style w:type="paragraph" w:styleId="NormalWeb">
    <w:name w:val="Normal (Web)"/>
    <w:basedOn w:val="Normal"/>
    <w:rsid w:val="00FB0272"/>
    <w:pPr>
      <w:spacing w:before="100" w:beforeAutospacing="1" w:after="100" w:afterAutospacing="1"/>
      <w:jc w:val="left"/>
    </w:pPr>
    <w:rPr>
      <w:rFonts w:ascii="宋体" w:hAnsi="宋体"/>
      <w:sz w:val="24"/>
      <w:szCs w:val="24"/>
    </w:rPr>
  </w:style>
  <w:style w:type="paragraph" w:customStyle="1" w:styleId="xl33">
    <w:name w:val="xl33"/>
    <w:basedOn w:val="Normal"/>
    <w:rsid w:val="00FB027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BalloonTextChar">
    <w:name w:val="Balloon Text Char"/>
    <w:link w:val="BalloonText"/>
    <w:uiPriority w:val="99"/>
    <w:semiHidden/>
    <w:rsid w:val="004D2231"/>
    <w:rPr>
      <w:rFonts w:ascii="Times New Roman" w:hAnsi="Times New Roman"/>
      <w:kern w:val="2"/>
      <w:sz w:val="18"/>
      <w:szCs w:val="18"/>
    </w:rPr>
  </w:style>
  <w:style w:type="paragraph" w:customStyle="1" w:styleId="6">
    <w:name w:val="正文_6"/>
    <w:qFormat/>
    <w:rsid w:val="004D6F28"/>
    <w:pPr>
      <w:widowControl w:val="0"/>
    </w:pPr>
    <w:rPr>
      <w:kern w:val="2"/>
      <w:szCs w:val="24"/>
    </w:rPr>
  </w:style>
  <w:style w:type="table" w:styleId="TableGrid">
    <w:name w:val="Table Grid"/>
    <w:basedOn w:val="TableNormal"/>
    <w:uiPriority w:val="39"/>
    <w:qFormat/>
    <w:rsid w:val="006B19B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正文_1"/>
    <w:qFormat/>
    <w:rsid w:val="00140534"/>
    <w:pPr>
      <w:widowControl w:val="0"/>
    </w:pPr>
    <w:rPr>
      <w:kern w:val="2"/>
      <w:szCs w:val="24"/>
    </w:rPr>
  </w:style>
  <w:style w:type="character" w:customStyle="1" w:styleId="af7">
    <w:name w:val="页眉 字符"/>
    <w:uiPriority w:val="99"/>
    <w:rsid w:val="00A045C1"/>
    <w:rPr>
      <w:sz w:val="18"/>
      <w:szCs w:val="18"/>
    </w:rPr>
  </w:style>
  <w:style w:type="character" w:customStyle="1" w:styleId="af8">
    <w:name w:val="页脚 字符"/>
    <w:uiPriority w:val="99"/>
    <w:rsid w:val="00A045C1"/>
    <w:rPr>
      <w:sz w:val="18"/>
      <w:szCs w:val="18"/>
    </w:rPr>
  </w:style>
  <w:style w:type="character" w:customStyle="1" w:styleId="10">
    <w:name w:val="标题 1 字符"/>
    <w:uiPriority w:val="9"/>
    <w:rsid w:val="00A045C1"/>
    <w:rPr>
      <w:rFonts w:ascii="Times New Roman" w:eastAsia="宋体" w:hAnsi="Times New Roman" w:cs="Times New Roman"/>
      <w:b/>
      <w:bCs/>
      <w:kern w:val="44"/>
      <w:sz w:val="44"/>
      <w:szCs w:val="44"/>
    </w:rPr>
  </w:style>
  <w:style w:type="character" w:customStyle="1" w:styleId="2">
    <w:name w:val="标题 2 字符"/>
    <w:uiPriority w:val="9"/>
    <w:semiHidden/>
    <w:rsid w:val="00A045C1"/>
    <w:rPr>
      <w:rFonts w:ascii="等线 Light" w:eastAsia="等线 Light" w:hAnsi="等线 Light" w:cs="Times New Roman"/>
      <w:b/>
      <w:bCs/>
      <w:sz w:val="32"/>
      <w:szCs w:val="32"/>
    </w:rPr>
  </w:style>
  <w:style w:type="character" w:customStyle="1" w:styleId="3">
    <w:name w:val="标题 3 字符"/>
    <w:uiPriority w:val="9"/>
    <w:semiHidden/>
    <w:rsid w:val="00A045C1"/>
    <w:rPr>
      <w:rFonts w:ascii="Times New Roman" w:eastAsia="宋体" w:hAnsi="Times New Roman" w:cs="Times New Roman"/>
      <w:b/>
      <w:bCs/>
      <w:sz w:val="32"/>
      <w:szCs w:val="32"/>
    </w:rPr>
  </w:style>
  <w:style w:type="character" w:customStyle="1" w:styleId="af9">
    <w:name w:val="日期 字符"/>
    <w:uiPriority w:val="99"/>
    <w:semiHidden/>
    <w:rsid w:val="00A045C1"/>
    <w:rPr>
      <w:rFonts w:ascii="Times New Roman" w:eastAsia="宋体" w:hAnsi="Times New Roman" w:cs="Times New Roman"/>
      <w:szCs w:val="20"/>
    </w:rPr>
  </w:style>
  <w:style w:type="character" w:customStyle="1" w:styleId="20">
    <w:name w:val="正文文本缩进 2 字符"/>
    <w:uiPriority w:val="99"/>
    <w:semiHidden/>
    <w:rsid w:val="00A045C1"/>
    <w:rPr>
      <w:rFonts w:ascii="Times New Roman" w:eastAsia="宋体" w:hAnsi="Times New Roman" w:cs="Times New Roman"/>
      <w:szCs w:val="20"/>
    </w:rPr>
  </w:style>
  <w:style w:type="character" w:customStyle="1" w:styleId="afa">
    <w:name w:val="纯文本 字符"/>
    <w:uiPriority w:val="99"/>
    <w:semiHidden/>
    <w:rsid w:val="00A045C1"/>
    <w:rPr>
      <w:rFonts w:ascii="等线" w:hAnsi="Courier New" w:cs="Courier New"/>
      <w:szCs w:val="20"/>
    </w:rPr>
  </w:style>
  <w:style w:type="character" w:customStyle="1" w:styleId="afb">
    <w:name w:val="正文文本缩进 字符"/>
    <w:uiPriority w:val="99"/>
    <w:semiHidden/>
    <w:rsid w:val="00A045C1"/>
    <w:rPr>
      <w:rFonts w:ascii="Times New Roman" w:eastAsia="宋体" w:hAnsi="Times New Roman" w:cs="Times New Roman"/>
      <w:szCs w:val="20"/>
    </w:rPr>
  </w:style>
  <w:style w:type="character" w:customStyle="1" w:styleId="DocumentMapChar">
    <w:name w:val="Document Map Char"/>
    <w:link w:val="DocumentMap"/>
    <w:semiHidden/>
    <w:rsid w:val="00A045C1"/>
    <w:rPr>
      <w:rFonts w:ascii="Times New Roman" w:hAnsi="Times New Roman"/>
      <w:kern w:val="2"/>
      <w:sz w:val="21"/>
      <w:shd w:val="clear" w:color="auto" w:fill="000080"/>
    </w:rPr>
  </w:style>
  <w:style w:type="character" w:customStyle="1" w:styleId="afc">
    <w:name w:val="批注框文本 字符"/>
    <w:uiPriority w:val="99"/>
    <w:semiHidden/>
    <w:rsid w:val="00A045C1"/>
    <w:rPr>
      <w:rFonts w:ascii="Times New Roman" w:eastAsia="宋体" w:hAnsi="Times New Roman" w:cs="Times New Roman"/>
      <w:sz w:val="18"/>
      <w:szCs w:val="18"/>
    </w:rPr>
  </w:style>
  <w:style w:type="character" w:customStyle="1" w:styleId="CommentTextChar">
    <w:name w:val="Comment Text Char"/>
    <w:link w:val="CommentText"/>
    <w:semiHidden/>
    <w:rsid w:val="00A045C1"/>
    <w:rPr>
      <w:rFonts w:ascii="Times New Roman" w:hAnsi="Times New Roman"/>
      <w:kern w:val="2"/>
      <w:sz w:val="21"/>
    </w:rPr>
  </w:style>
  <w:style w:type="character" w:customStyle="1" w:styleId="CommentSubjectChar">
    <w:name w:val="Comment Subject Char"/>
    <w:link w:val="CommentSubject"/>
    <w:semiHidden/>
    <w:rsid w:val="00A045C1"/>
    <w:rPr>
      <w:rFonts w:ascii="Times New Roman" w:hAnsi="Times New Roman"/>
      <w:b/>
      <w:bCs/>
      <w:kern w:val="2"/>
      <w:sz w:val="21"/>
    </w:rPr>
  </w:style>
  <w:style w:type="paragraph" w:customStyle="1" w:styleId="affb">
    <w:name w:val="affb"/>
    <w:rsid w:val="00E30B69"/>
    <w:pPr>
      <w:widowControl w:val="0"/>
    </w:pPr>
    <w:rPr>
      <w:kern w:val="2"/>
      <w:szCs w:val="24"/>
    </w:rPr>
  </w:style>
  <w:style w:type="paragraph" w:customStyle="1" w:styleId="affc">
    <w:name w:val="affc"/>
    <w:basedOn w:val="affd"/>
    <w:next w:val="affd"/>
    <w:link w:val="affe"/>
    <w:rsid w:val="00E30B69"/>
    <w:pPr>
      <w:keepNext/>
      <w:keepLines/>
      <w:spacing w:before="260" w:after="260" w:line="416" w:lineRule="auto"/>
      <w:outlineLvl w:val="2"/>
    </w:pPr>
    <w:rPr>
      <w:b/>
      <w:bCs/>
      <w:sz w:val="32"/>
      <w:szCs w:val="32"/>
    </w:rPr>
  </w:style>
  <w:style w:type="character" w:customStyle="1" w:styleId="affe">
    <w:name w:val="affe"/>
    <w:link w:val="affc"/>
    <w:rsid w:val="00E30B69"/>
    <w:rPr>
      <w:b/>
      <w:bCs/>
      <w:kern w:val="2"/>
      <w:sz w:val="32"/>
      <w:szCs w:val="32"/>
    </w:rPr>
  </w:style>
  <w:style w:type="paragraph" w:customStyle="1" w:styleId="afff">
    <w:name w:val="afff"/>
    <w:rsid w:val="00E30B69"/>
    <w:pPr>
      <w:widowControl w:val="0"/>
      <w:autoSpaceDE w:val="0"/>
      <w:autoSpaceDN w:val="0"/>
      <w:adjustRightInd w:val="0"/>
    </w:pPr>
    <w:rPr>
      <w:rFonts w:ascii="仿宋" w:hAnsi="仿宋" w:cs="仿宋"/>
      <w:color w:val="000000"/>
      <w:sz w:val="24"/>
      <w:szCs w:val="24"/>
    </w:rPr>
  </w:style>
  <w:style w:type="paragraph" w:customStyle="1" w:styleId="affd">
    <w:name w:val="affd"/>
    <w:rsid w:val="00E30B69"/>
    <w:pPr>
      <w:widowControl w:val="0"/>
    </w:pPr>
    <w:rPr>
      <w:kern w:val="2"/>
      <w:szCs w:val="24"/>
    </w:rPr>
  </w:style>
  <w:style w:type="character" w:customStyle="1" w:styleId="afff0">
    <w:name w:val="afff0"/>
    <w:uiPriority w:val="1"/>
    <w:semiHidden/>
    <w:unhideWhenUsed/>
    <w:rsid w:val="00F13DD1"/>
  </w:style>
  <w:style w:type="table" w:customStyle="1" w:styleId="afff1">
    <w:name w:val="afff1"/>
    <w:uiPriority w:val="99"/>
    <w:semiHidden/>
    <w:unhideWhenUsed/>
    <w:rsid w:val="00F13DD1"/>
    <w:tblPr>
      <w:tblInd w:w="0" w:type="dxa"/>
      <w:tblCellMar>
        <w:top w:w="0" w:type="dxa"/>
        <w:left w:w="108" w:type="dxa"/>
        <w:bottom w:w="0" w:type="dxa"/>
        <w:right w:w="108" w:type="dxa"/>
      </w:tblCellMar>
    </w:tblPr>
  </w:style>
  <w:style w:type="table" w:customStyle="1" w:styleId="afff2">
    <w:name w:val="afff2"/>
    <w:basedOn w:val="afff1"/>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TableNormal"/>
    <w:next w:val="TableGrid"/>
    <w:uiPriority w:val="39"/>
    <w:rsid w:val="00E46AD5"/>
    <w:rPr>
      <w:rFonts w:ascii="等线" w:eastAsia="等线" w:hAnsi="等线"/>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afff3"/>
    <w:rsid w:val="00E30B69"/>
    <w:pPr>
      <w:widowControl w:val="0"/>
    </w:pPr>
    <w:rPr>
      <w:kern w:val="2"/>
      <w:szCs w:val="24"/>
    </w:rPr>
  </w:style>
  <w:style w:type="paragraph" w:customStyle="1" w:styleId="afff4">
    <w:name w:val="afff4"/>
    <w:basedOn w:val="afff5"/>
    <w:next w:val="afff5"/>
    <w:link w:val="afff6"/>
    <w:rsid w:val="00E30B69"/>
    <w:pPr>
      <w:keepNext/>
      <w:keepLines/>
      <w:spacing w:before="260" w:after="260" w:line="416" w:lineRule="auto"/>
      <w:outlineLvl w:val="2"/>
    </w:pPr>
    <w:rPr>
      <w:b/>
      <w:bCs/>
      <w:sz w:val="32"/>
      <w:szCs w:val="32"/>
    </w:rPr>
  </w:style>
  <w:style w:type="character" w:customStyle="1" w:styleId="afff6">
    <w:name w:val="afff6"/>
    <w:basedOn w:val="afff7"/>
    <w:link w:val="afff4"/>
    <w:rsid w:val="00E30B69"/>
    <w:rPr>
      <w:b/>
      <w:bCs/>
      <w:kern w:val="2"/>
      <w:sz w:val="32"/>
      <w:szCs w:val="32"/>
    </w:rPr>
  </w:style>
  <w:style w:type="paragraph" w:customStyle="1" w:styleId="afff5">
    <w:name w:val="afff5"/>
    <w:rsid w:val="00E30B69"/>
    <w:pPr>
      <w:widowControl w:val="0"/>
    </w:pPr>
    <w:rPr>
      <w:kern w:val="2"/>
      <w:szCs w:val="24"/>
    </w:rPr>
  </w:style>
  <w:style w:type="character" w:customStyle="1" w:styleId="afff7">
    <w:name w:val="afff7"/>
    <w:uiPriority w:val="1"/>
    <w:semiHidden/>
    <w:unhideWhenUsed/>
    <w:rsid w:val="00693BE7"/>
  </w:style>
  <w:style w:type="table" w:customStyle="1" w:styleId="afff8">
    <w:name w:val="afff8"/>
    <w:uiPriority w:val="99"/>
    <w:semiHidden/>
    <w:unhideWhenUsed/>
    <w:rsid w:val="00693BE7"/>
    <w:tblPr>
      <w:tblInd w:w="0" w:type="dxa"/>
      <w:tblCellMar>
        <w:top w:w="0" w:type="dxa"/>
        <w:left w:w="108" w:type="dxa"/>
        <w:bottom w:w="0" w:type="dxa"/>
        <w:right w:w="108" w:type="dxa"/>
      </w:tblCellMar>
    </w:tblPr>
  </w:style>
  <w:style w:type="table" w:customStyle="1" w:styleId="afff9">
    <w:name w:val="afff9"/>
    <w:basedOn w:val="afff8"/>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C7774"/>
    <w:pPr>
      <w:spacing w:after="120"/>
    </w:pPr>
  </w:style>
  <w:style w:type="character" w:customStyle="1" w:styleId="BodyTextChar">
    <w:name w:val="Body Text Char"/>
    <w:basedOn w:val="DefaultParagraphFont"/>
    <w:link w:val="BodyText"/>
    <w:uiPriority w:val="99"/>
    <w:semiHidden/>
    <w:rsid w:val="00AC7774"/>
    <w:rPr>
      <w:rFonts w:ascii="Times New Roman" w:hAnsi="Times New Roman"/>
      <w:kern w:val="2"/>
      <w:sz w:val="21"/>
    </w:rPr>
  </w:style>
  <w:style w:type="table" w:customStyle="1" w:styleId="TableNormal0">
    <w:name w:val="Table Normal_0"/>
    <w:uiPriority w:val="2"/>
    <w:semiHidden/>
    <w:unhideWhenUsed/>
    <w:qFormat/>
    <w:rsid w:val="00AC777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C7774"/>
    <w:pPr>
      <w:autoSpaceDE w:val="0"/>
      <w:autoSpaceDN w:val="0"/>
      <w:jc w:val="center"/>
    </w:pPr>
    <w:rPr>
      <w:rFonts w:eastAsia="Times New Roman"/>
      <w:sz w:val="22"/>
      <w:szCs w:val="22"/>
      <w:lang w:val="zh-CN" w:bidi="zh-CN"/>
    </w:rPr>
  </w:style>
  <w:style w:type="paragraph" w:customStyle="1" w:styleId="MTDisplayEquation">
    <w:name w:val="MTDisplayEquation"/>
    <w:basedOn w:val="Normal"/>
    <w:next w:val="Normal"/>
    <w:qFormat/>
    <w:rsid w:val="00E15746"/>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sz w:val="28"/>
    </w:rPr>
  </w:style>
  <w:style w:type="table" w:customStyle="1" w:styleId="afffe">
    <w:name w:val="afffe"/>
    <w:uiPriority w:val="99"/>
    <w:semiHidden/>
    <w:unhideWhenUsed/>
    <w:rsid w:val="00E92392"/>
    <w:rPr>
      <w:rFonts w:asciiTheme="minorHAnsi" w:eastAsiaTheme="minorEastAsia" w:hAnsiTheme="minorHAnsi" w:cstheme="minorBidi"/>
      <w:kern w:val="2"/>
      <w:szCs w:val="22"/>
    </w:rPr>
    <w:tblPr>
      <w:tblInd w:w="0" w:type="dxa"/>
      <w:tblCellMar>
        <w:top w:w="0" w:type="dxa"/>
        <w:left w:w="108" w:type="dxa"/>
        <w:bottom w:w="0" w:type="dxa"/>
        <w:right w:w="108" w:type="dxa"/>
      </w:tblCellMar>
    </w:tblPr>
  </w:style>
  <w:style w:type="paragraph" w:styleId="TOC2">
    <w:name w:val="toc 2"/>
    <w:basedOn w:val="Normal"/>
    <w:next w:val="Normal"/>
    <w:autoRedefine/>
    <w:uiPriority w:val="39"/>
    <w:unhideWhenUsed/>
    <w:rsid w:val="000D3C71"/>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8861B-6D0A-4096-9BA3-237E0D7E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176</Pages>
  <Words>164688</Words>
  <Characters>164689</Characters>
  <Application>Microsoft Office Word</Application>
  <DocSecurity>0</DocSecurity>
  <Lines>5489</Lines>
  <Paragraphs>3431</Paragraphs>
  <ScaleCrop>false</ScaleCrop>
  <Company/>
  <LinksUpToDate>false</LinksUpToDate>
  <CharactersWithSpaces>325946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合规部-熊婷</dc:creator>
  <cp:lastModifiedBy>chien lyn</cp:lastModifiedBy>
  <cp:revision>69</cp:revision>
  <cp:lastPrinted>2025-05-29T02:00:00Z</cp:lastPrinted>
  <dcterms:created xsi:type="dcterms:W3CDTF">2025-05-27T11:33:00Z</dcterms:created>
  <dcterms:modified xsi:type="dcterms:W3CDTF">2025-10-17T16:48:00Z</dcterms:modified>
</cp:coreProperties>
</file>